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800"/>
        <w:jc w:val="center"/>
      </w:pPr>
      <w:r>
        <w:rPr>
          <w:rFonts w:ascii="Arial" w:cs="Arial" w:eastAsia="Arial" w:hAnsi="Arial"/>
          <w:b/>
          <w:bCs/>
          <w:color w:val="1F4E79"/>
          <w:sz w:val="52"/>
          <w:szCs w:val="52"/>
        </w:rPr>
        <w:t xml:space="preserve">RFID / NFC Manufacturing</w:t>
      </w:r>
    </w:p>
    <w:p>
      <w:pPr>
        <w:spacing w:after="400"/>
        <w:jc w:val="center"/>
      </w:pPr>
      <w:r>
        <w:rPr>
          <w:rFonts w:ascii="Arial" w:cs="Arial" w:eastAsia="Arial" w:hAnsi="Arial"/>
          <w:b/>
          <w:bCs/>
          <w:color w:val="1F4E79"/>
          <w:sz w:val="40"/>
          <w:szCs w:val="40"/>
        </w:rPr>
        <w:t xml:space="preserve">Request for Proposal (RFP) Template</w:t>
      </w:r>
    </w:p>
    <w:p>
      <w:pPr>
        <w:spacing w:after="100"/>
        <w:jc w:val="center"/>
      </w:pPr>
      <w:r>
        <w:rPr>
          <w:rFonts w:ascii="Arial" w:cs="Arial" w:eastAsia="Arial" w:hAnsi="Arial"/>
          <w:color w:val="666666"/>
          <w:sz w:val="22"/>
          <w:szCs w:val="22"/>
        </w:rPr>
        <w:t xml:space="preserve">A fillable procurement template for sourcing RFID cards, tags, labels, wristbands, keyfobs, and readers.</w:t>
      </w:r>
    </w:p>
    <w:p>
      <w:pPr>
        <w:spacing w:after="500"/>
        <w:jc w:val="center"/>
      </w:pPr>
      <w:r>
        <w:rPr>
          <w:rFonts w:ascii="Arial" w:cs="Arial" w:eastAsia="Arial" w:hAnsi="Arial"/>
          <w:color w:val="666666"/>
          <w:sz w:val="20"/>
          <w:szCs w:val="20"/>
        </w:rPr>
        <w:t xml:space="preserve">Provided by Proud Tek — proudtek.com — a manufacturer of custom RFID and NFC products since 2008.</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rPr>
          <w:cantSplit/>
        </w:trPr>
        <w:tc>
          <w:tcPr>
            <w:tcW w:type="dxa" w:w="3120"/>
            <w:tcBorders>
              <w:top w:val="single" w:color="BFBFBF" w:sz="4"/>
              <w:left w:val="single" w:color="BFBFBF" w:sz="4"/>
              <w:bottom w:val="single" w:color="BFBFBF" w:sz="4"/>
              <w:right w:val="single" w:color="BFBFBF" w:sz="4"/>
            </w:tcBorders>
            <w:shd w:fill="D9E2F3"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Buyer organization</w:t>
            </w:r>
          </w:p>
        </w:tc>
        <w:tc>
          <w:tcPr>
            <w:tcW w:type="dxa" w:w="6240"/>
            <w:tcBorders>
              <w:top w:val="single" w:color="BFBFBF" w:sz="4"/>
              <w:left w:val="single" w:color="BFBFBF" w:sz="4"/>
              <w:bottom w:val="single" w:color="BFBFBF" w:sz="4"/>
              <w:right w:val="single" w:color="BFBFBF" w:sz="4"/>
            </w:tcBorders>
            <w:tcMar>
              <w:top w:type="dxa" w:w="200"/>
              <w:left w:type="dxa" w:w="120"/>
              <w:bottom w:type="dxa" w:w="200"/>
              <w:right w:type="dxa" w:w="120"/>
            </w:tcMar>
          </w:tcPr>
          <w:p>
            <w:r>
              <w:rPr>
                <w:sz w:val="20"/>
                <w:szCs w:val="20"/>
              </w:rPr>
              <w:t xml:space="preserve"/>
            </w:r>
          </w:p>
        </w:tc>
      </w:tr>
      <w:tr>
        <w:trPr>
          <w:cantSplit/>
        </w:trPr>
        <w:tc>
          <w:tcPr>
            <w:tcW w:type="dxa" w:w="3120"/>
            <w:tcBorders>
              <w:top w:val="single" w:color="BFBFBF" w:sz="4"/>
              <w:left w:val="single" w:color="BFBFBF" w:sz="4"/>
              <w:bottom w:val="single" w:color="BFBFBF" w:sz="4"/>
              <w:right w:val="single" w:color="BFBFBF" w:sz="4"/>
            </w:tcBorders>
            <w:shd w:fill="D9E2F3"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Project / programme name</w:t>
            </w:r>
          </w:p>
        </w:tc>
        <w:tc>
          <w:tcPr>
            <w:tcW w:type="dxa" w:w="6240"/>
            <w:tcBorders>
              <w:top w:val="single" w:color="BFBFBF" w:sz="4"/>
              <w:left w:val="single" w:color="BFBFBF" w:sz="4"/>
              <w:bottom w:val="single" w:color="BFBFBF" w:sz="4"/>
              <w:right w:val="single" w:color="BFBFBF" w:sz="4"/>
            </w:tcBorders>
            <w:tcMar>
              <w:top w:type="dxa" w:w="200"/>
              <w:left w:type="dxa" w:w="120"/>
              <w:bottom w:type="dxa" w:w="200"/>
              <w:right w:type="dxa" w:w="120"/>
            </w:tcMar>
          </w:tcPr>
          <w:p>
            <w:r>
              <w:rPr>
                <w:sz w:val="20"/>
                <w:szCs w:val="20"/>
              </w:rPr>
              <w:t xml:space="preserve"/>
            </w:r>
          </w:p>
        </w:tc>
      </w:tr>
      <w:tr>
        <w:trPr>
          <w:cantSplit/>
        </w:trPr>
        <w:tc>
          <w:tcPr>
            <w:tcW w:type="dxa" w:w="3120"/>
            <w:tcBorders>
              <w:top w:val="single" w:color="BFBFBF" w:sz="4"/>
              <w:left w:val="single" w:color="BFBFBF" w:sz="4"/>
              <w:bottom w:val="single" w:color="BFBFBF" w:sz="4"/>
              <w:right w:val="single" w:color="BFBFBF" w:sz="4"/>
            </w:tcBorders>
            <w:shd w:fill="D9E2F3"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Primary contact (name, title, email)</w:t>
            </w:r>
          </w:p>
        </w:tc>
        <w:tc>
          <w:tcPr>
            <w:tcW w:type="dxa" w:w="6240"/>
            <w:tcBorders>
              <w:top w:val="single" w:color="BFBFBF" w:sz="4"/>
              <w:left w:val="single" w:color="BFBFBF" w:sz="4"/>
              <w:bottom w:val="single" w:color="BFBFBF" w:sz="4"/>
              <w:right w:val="single" w:color="BFBFBF" w:sz="4"/>
            </w:tcBorders>
            <w:tcMar>
              <w:top w:type="dxa" w:w="200"/>
              <w:left w:type="dxa" w:w="120"/>
              <w:bottom w:type="dxa" w:w="200"/>
              <w:right w:type="dxa" w:w="120"/>
            </w:tcMar>
          </w:tcPr>
          <w:p>
            <w:r>
              <w:rPr>
                <w:sz w:val="20"/>
                <w:szCs w:val="20"/>
              </w:rPr>
              <w:t xml:space="preserve"/>
            </w:r>
          </w:p>
        </w:tc>
      </w:tr>
      <w:tr>
        <w:trPr>
          <w:cantSplit/>
        </w:trPr>
        <w:tc>
          <w:tcPr>
            <w:tcW w:type="dxa" w:w="3120"/>
            <w:tcBorders>
              <w:top w:val="single" w:color="BFBFBF" w:sz="4"/>
              <w:left w:val="single" w:color="BFBFBF" w:sz="4"/>
              <w:bottom w:val="single" w:color="BFBFBF" w:sz="4"/>
              <w:right w:val="single" w:color="BFBFBF" w:sz="4"/>
            </w:tcBorders>
            <w:shd w:fill="D9E2F3"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RFP issue date</w:t>
            </w:r>
          </w:p>
        </w:tc>
        <w:tc>
          <w:tcPr>
            <w:tcW w:type="dxa" w:w="6240"/>
            <w:tcBorders>
              <w:top w:val="single" w:color="BFBFBF" w:sz="4"/>
              <w:left w:val="single" w:color="BFBFBF" w:sz="4"/>
              <w:bottom w:val="single" w:color="BFBFBF" w:sz="4"/>
              <w:right w:val="single" w:color="BFBFBF" w:sz="4"/>
            </w:tcBorders>
            <w:tcMar>
              <w:top w:type="dxa" w:w="200"/>
              <w:left w:type="dxa" w:w="120"/>
              <w:bottom w:type="dxa" w:w="200"/>
              <w:right w:type="dxa" w:w="120"/>
            </w:tcMar>
          </w:tcPr>
          <w:p>
            <w:r>
              <w:rPr>
                <w:sz w:val="20"/>
                <w:szCs w:val="20"/>
              </w:rPr>
              <w:t xml:space="preserve"/>
            </w:r>
          </w:p>
        </w:tc>
      </w:tr>
      <w:tr>
        <w:trPr>
          <w:cantSplit/>
        </w:trPr>
        <w:tc>
          <w:tcPr>
            <w:tcW w:type="dxa" w:w="3120"/>
            <w:tcBorders>
              <w:top w:val="single" w:color="BFBFBF" w:sz="4"/>
              <w:left w:val="single" w:color="BFBFBF" w:sz="4"/>
              <w:bottom w:val="single" w:color="BFBFBF" w:sz="4"/>
              <w:right w:val="single" w:color="BFBFBF" w:sz="4"/>
            </w:tcBorders>
            <w:shd w:fill="D9E2F3"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Response due date</w:t>
            </w:r>
          </w:p>
        </w:tc>
        <w:tc>
          <w:tcPr>
            <w:tcW w:type="dxa" w:w="6240"/>
            <w:tcBorders>
              <w:top w:val="single" w:color="BFBFBF" w:sz="4"/>
              <w:left w:val="single" w:color="BFBFBF" w:sz="4"/>
              <w:bottom w:val="single" w:color="BFBFBF" w:sz="4"/>
              <w:right w:val="single" w:color="BFBFBF" w:sz="4"/>
            </w:tcBorders>
            <w:tcMar>
              <w:top w:type="dxa" w:w="200"/>
              <w:left w:type="dxa" w:w="120"/>
              <w:bottom w:type="dxa" w:w="200"/>
              <w:right w:type="dxa" w:w="120"/>
            </w:tcMar>
          </w:tcPr>
          <w:p>
            <w:r>
              <w:rPr>
                <w:sz w:val="20"/>
                <w:szCs w:val="20"/>
              </w:rPr>
              <w:t xml:space="preserve"/>
            </w:r>
          </w:p>
        </w:tc>
      </w:tr>
      <w:tr>
        <w:trPr>
          <w:cantSplit/>
        </w:trPr>
        <w:tc>
          <w:tcPr>
            <w:tcW w:type="dxa" w:w="3120"/>
            <w:tcBorders>
              <w:top w:val="single" w:color="BFBFBF" w:sz="4"/>
              <w:left w:val="single" w:color="BFBFBF" w:sz="4"/>
              <w:bottom w:val="single" w:color="BFBFBF" w:sz="4"/>
              <w:right w:val="single" w:color="BFBFBF" w:sz="4"/>
            </w:tcBorders>
            <w:shd w:fill="D9E2F3"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Target production start date</w:t>
            </w:r>
          </w:p>
        </w:tc>
        <w:tc>
          <w:tcPr>
            <w:tcW w:type="dxa" w:w="6240"/>
            <w:tcBorders>
              <w:top w:val="single" w:color="BFBFBF" w:sz="4"/>
              <w:left w:val="single" w:color="BFBFBF" w:sz="4"/>
              <w:bottom w:val="single" w:color="BFBFBF" w:sz="4"/>
              <w:right w:val="single" w:color="BFBFBF" w:sz="4"/>
            </w:tcBorders>
            <w:tcMar>
              <w:top w:type="dxa" w:w="200"/>
              <w:left w:type="dxa" w:w="120"/>
              <w:bottom w:type="dxa" w:w="200"/>
              <w:right w:type="dxa" w:w="120"/>
            </w:tcMar>
          </w:tcPr>
          <w:p>
            <w:r>
              <w:rPr>
                <w:sz w:val="20"/>
                <w:szCs w:val="20"/>
              </w:rPr>
              <w:t xml:space="preserve"/>
            </w:r>
          </w:p>
        </w:tc>
      </w:tr>
    </w:tbl>
    <w:p>
      <w:r>
        <w:br w:type="page"/>
      </w:r>
    </w:p>
    <w:p>
      <w:pPr>
        <w:pStyle w:val="Heading1"/>
        <w:spacing w:after="160" w:before="320"/>
      </w:pPr>
      <w:r>
        <w:t xml:space="preserve">How to use this template</w:t>
      </w:r>
    </w:p>
    <w:p>
      <w:pPr>
        <w:spacing w:after="140"/>
      </w:pPr>
      <w:r>
        <w:rPr>
          <w:rFonts w:ascii="Arial" w:cs="Arial" w:eastAsia="Arial" w:hAnsi="Arial"/>
          <w:sz w:val="21"/>
          <w:szCs w:val="21"/>
        </w:rPr>
        <w:t xml:space="preserve">This is a working document, not a form to sign. Fill in the bracketed and blank fields, delete sections that don’t apply to your product category, and send the completed RFP to 3–5 shortlisted suppliers so every response lines up on the same fields — the whole point of an RFP is to make bids comparable, which a generic “send me your best price” email never achieves.</w:t>
      </w:r>
    </w:p>
    <w:p>
      <w:pPr>
        <w:spacing w:after="140"/>
      </w:pPr>
      <w:r>
        <w:rPr>
          <w:rFonts w:ascii="Arial" w:cs="Arial" w:eastAsia="Arial" w:hAnsi="Arial"/>
          <w:sz w:val="21"/>
          <w:szCs w:val="21"/>
        </w:rPr>
        <w:t xml:space="preserve">Background and reasoning for each section — why these specific questions, what a red-flag answer looks like, and how to evaluate responses — is covered in the companion article: proudtek.com/blog/rfid-rfp-template-questions-suppliers/. This document is the fillable counterpart to that guide.</w:t>
      </w:r>
    </w:p>
    <w:p>
      <w:pPr>
        <w:spacing w:after="140"/>
      </w:pPr>
      <w:r>
        <w:rPr>
          <w:rFonts w:ascii="Arial" w:cs="Arial" w:eastAsia="Arial" w:hAnsi="Arial"/>
          <w:color w:val="666666"/>
          <w:sz w:val="21"/>
          <w:szCs w:val="21"/>
        </w:rPr>
        <w:t xml:space="preserve">Sections 3–6 are written to be product-family-agnostic — the same template works whether you’re sourcing cards, tags, labels, wristbands, keyfobs, or readers. Delete the rows in the technical requirements table that don’t apply to your category.</w:t>
      </w:r>
    </w:p>
    <w:p>
      <w:pPr>
        <w:pStyle w:val="Heading1"/>
        <w:spacing w:after="160" w:before="320"/>
      </w:pPr>
      <w:r>
        <w:t xml:space="preserve">1. Scope of work</w:t>
      </w:r>
    </w:p>
    <w:p>
      <w:pPr>
        <w:pStyle w:val="Heading2"/>
        <w:spacing w:after="120" w:before="240"/>
      </w:pPr>
      <w:r>
        <w:t xml:space="preserve">1.1 Product family (check all that apply)</w:t>
      </w:r>
    </w:p>
    <w:p>
      <w:pPr>
        <w:pStyle w:val="ListParagraph"/>
        <w:numPr>
          <w:ilvl w:val="0"/>
          <w:numId w:val="2"/>
        </w:numPr>
        <w:spacing w:after="80"/>
      </w:pPr>
      <w:r>
        <w:rPr>
          <w:rFonts w:ascii="Arial" w:cs="Arial" w:eastAsia="Arial" w:hAnsi="Arial"/>
          <w:sz w:val="21"/>
          <w:szCs w:val="21"/>
        </w:rPr>
        <w:t xml:space="preserve">☐ RFID / NFC cards (MIFARE, NTAG, EM4100, DESFire, hotel keys, membership, smart cards)</w:t>
      </w:r>
    </w:p>
    <w:p>
      <w:pPr>
        <w:pStyle w:val="ListParagraph"/>
        <w:numPr>
          <w:ilvl w:val="0"/>
          <w:numId w:val="2"/>
        </w:numPr>
        <w:spacing w:after="80"/>
      </w:pPr>
      <w:r>
        <w:rPr>
          <w:rFonts w:ascii="Arial" w:cs="Arial" w:eastAsia="Arial" w:hAnsi="Arial"/>
          <w:sz w:val="21"/>
          <w:szCs w:val="21"/>
        </w:rPr>
        <w:t xml:space="preserve">☐ RFID tags (anti-metal, high-temp, animal ear, laundry, tool/asset tracking)</w:t>
      </w:r>
    </w:p>
    <w:p>
      <w:pPr>
        <w:pStyle w:val="ListParagraph"/>
        <w:numPr>
          <w:ilvl w:val="0"/>
          <w:numId w:val="2"/>
        </w:numPr>
        <w:spacing w:after="80"/>
      </w:pPr>
      <w:r>
        <w:rPr>
          <w:rFonts w:ascii="Arial" w:cs="Arial" w:eastAsia="Arial" w:hAnsi="Arial"/>
          <w:sz w:val="21"/>
          <w:szCs w:val="21"/>
        </w:rPr>
        <w:t xml:space="preserve">☐ RFID labels / inlays (NFC stickers, windshield, apparel hang tags, brand authentication)</w:t>
      </w:r>
    </w:p>
    <w:p>
      <w:pPr>
        <w:pStyle w:val="ListParagraph"/>
        <w:numPr>
          <w:ilvl w:val="0"/>
          <w:numId w:val="2"/>
        </w:numPr>
        <w:spacing w:after="80"/>
      </w:pPr>
      <w:r>
        <w:rPr>
          <w:rFonts w:ascii="Arial" w:cs="Arial" w:eastAsia="Arial" w:hAnsi="Arial"/>
          <w:sz w:val="21"/>
          <w:szCs w:val="21"/>
        </w:rPr>
        <w:t xml:space="preserve">☐ RFID wristbands (silicone, Tyvek/fabric, hotel, event, hospital)</w:t>
      </w:r>
    </w:p>
    <w:p>
      <w:pPr>
        <w:pStyle w:val="ListParagraph"/>
        <w:numPr>
          <w:ilvl w:val="0"/>
          <w:numId w:val="2"/>
        </w:numPr>
        <w:spacing w:after="80"/>
      </w:pPr>
      <w:r>
        <w:rPr>
          <w:rFonts w:ascii="Arial" w:cs="Arial" w:eastAsia="Arial" w:hAnsi="Arial"/>
          <w:sz w:val="21"/>
          <w:szCs w:val="21"/>
        </w:rPr>
        <w:t xml:space="preserve">☐ RFID keyfobs (proximity, DESFire, T5577, multi-protocol)</w:t>
      </w:r>
    </w:p>
    <w:p>
      <w:pPr>
        <w:pStyle w:val="ListParagraph"/>
        <w:numPr>
          <w:ilvl w:val="0"/>
          <w:numId w:val="2"/>
        </w:numPr>
        <w:spacing w:after="80"/>
      </w:pPr>
      <w:r>
        <w:rPr>
          <w:rFonts w:ascii="Arial" w:cs="Arial" w:eastAsia="Arial" w:hAnsi="Arial"/>
          <w:sz w:val="21"/>
          <w:szCs w:val="21"/>
        </w:rPr>
        <w:t xml:space="preserve">☐ RFID readers / encoders (desktop, fixed, handheld, integrated)</w:t>
      </w:r>
    </w:p>
    <w:p>
      <w:pPr>
        <w:pStyle w:val="ListParagraph"/>
        <w:numPr>
          <w:ilvl w:val="0"/>
          <w:numId w:val="2"/>
        </w:numPr>
        <w:spacing w:after="80"/>
      </w:pPr>
      <w:r>
        <w:rPr>
          <w:rFonts w:ascii="Arial" w:cs="Arial" w:eastAsia="Arial" w:hAnsi="Arial"/>
          <w:sz w:val="21"/>
          <w:szCs w:val="21"/>
        </w:rPr>
        <w:t xml:space="preserve">☐ Other: ______________________________________________</w:t>
      </w:r>
    </w:p>
    <w:p>
      <w:pPr>
        <w:pStyle w:val="Heading2"/>
        <w:spacing w:after="120" w:before="240"/>
      </w:pPr>
      <w:r>
        <w:t xml:space="preserve">1.2 Application / use case</w:t>
      </w:r>
    </w:p>
    <w:p>
      <w:pPr>
        <w:spacing w:after="140"/>
      </w:pPr>
      <w:r>
        <w:rPr>
          <w:rFonts w:ascii="Arial" w:cs="Arial" w:eastAsia="Arial" w:hAnsi="Arial"/>
          <w:sz w:val="21"/>
          <w:szCs w:val="21"/>
        </w:rPr>
        <w:t xml:space="preserve">Describe the end use in 2–3 sentences — e.g. “hotel keycards replacing magnetic stripe across 40 properties,” “item-level apparel tagging for a Walmart source-tagging mandate,” “festival wristbands for a single 3-day event, 15,000 attendees.” The application drives chip tier, durability and certification requirements more than any other input — vague scoping here is the single most common cause of mismatched supplier quotes.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cantSplit/>
        </w:trPr>
        <w:tc>
          <w:tcPr>
            <w:tcW w:type="dxa" w:w="9360"/>
            <w:tcBorders>
              <w:top w:val="single" w:color="BFBFBF" w:sz="4"/>
              <w:left w:val="single" w:color="BFBFBF" w:sz="4"/>
              <w:bottom w:val="single" w:color="BFBFBF" w:sz="4"/>
              <w:right w:val="single" w:color="BFBFBF" w:sz="4"/>
            </w:tcBorders>
            <w:tcMar>
              <w:top w:type="dxa" w:w="200"/>
              <w:left w:type="dxa" w:w="120"/>
              <w:bottom w:type="dxa" w:w="800"/>
              <w:right w:type="dxa" w:w="120"/>
            </w:tcMar>
          </w:tcPr>
          <w:p>
            <w:r>
              <w:t xml:space="preserve"/>
            </w:r>
          </w:p>
        </w:tc>
      </w:tr>
    </w:tbl>
    <w:p>
      <w:pPr>
        <w:pStyle w:val="Heading2"/>
        <w:spacing w:after="120" w:before="240"/>
      </w:pPr>
      <w:r>
        <w:t xml:space="preserve">1.3 Estimated annual volume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cantSplit/>
        </w:trPr>
        <w:tc>
          <w:tcPr>
            <w:tcW w:type="dxa" w:w="4680"/>
            <w:tcBorders>
              <w:top w:val="single" w:color="BFBFBF" w:sz="4"/>
              <w:left w:val="single" w:color="BFBFBF" w:sz="4"/>
              <w:bottom w:val="single" w:color="BFBFBF" w:sz="4"/>
              <w:right w:val="single" w:color="BFBFBF" w:sz="4"/>
            </w:tcBorders>
            <w:shd w:fill="D9E2F3"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Volume tier</w:t>
            </w:r>
          </w:p>
        </w:tc>
        <w:tc>
          <w:tcPr>
            <w:tcW w:type="dxa" w:w="4680"/>
            <w:tcBorders>
              <w:top w:val="single" w:color="BFBFBF" w:sz="4"/>
              <w:left w:val="single" w:color="BFBFBF" w:sz="4"/>
              <w:bottom w:val="single" w:color="BFBFBF" w:sz="4"/>
              <w:right w:val="single" w:color="BFBFBF" w:sz="4"/>
            </w:tcBorders>
            <w:shd w:fill="D9E2F3"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Check applicable tier</w:t>
            </w:r>
          </w:p>
        </w:tc>
      </w:tr>
      <w:tr>
        <w:trPr>
          <w:cantSplit/>
        </w:trPr>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Pilot / proof of concept</w:t>
            </w:r>
          </w:p>
        </w:tc>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&lt; 5,000 units ☐</w:t>
            </w:r>
          </w:p>
        </w:tc>
      </w:tr>
      <w:tr>
        <w:trPr>
          <w:cantSplit/>
        </w:trPr>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Single-site or single-event</w:t>
            </w:r>
          </w:p>
        </w:tc>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5,000–50,000 units ☐</w:t>
            </w:r>
          </w:p>
        </w:tc>
      </w:tr>
      <w:tr>
        <w:trPr>
          <w:cantSplit/>
        </w:trPr>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Multi-site / regional rollout</w:t>
            </w:r>
          </w:p>
        </w:tc>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50,000–250,000 units ☐</w:t>
            </w:r>
          </w:p>
        </w:tc>
      </w:tr>
      <w:tr>
        <w:trPr>
          <w:cantSplit/>
        </w:trPr>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Mid-tier enterprise programme</w:t>
            </w:r>
          </w:p>
        </w:tc>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250,000–1,000,000 units ☐</w:t>
            </w:r>
          </w:p>
        </w:tc>
      </w:tr>
      <w:tr>
        <w:trPr>
          <w:cantSplit/>
        </w:trPr>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Tier-1 enterprise / mass volume</w:t>
            </w:r>
          </w:p>
        </w:tc>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1,000,000+ units ☐</w:t>
            </w:r>
          </w:p>
        </w:tc>
      </w:tr>
    </w:tbl>
    <w:p>
      <w:pPr>
        <w:pStyle w:val="Heading1"/>
        <w:spacing w:after="160" w:before="320"/>
      </w:pPr>
      <w:r>
        <w:t xml:space="preserve">2. Technical requirements</w:t>
      </w:r>
    </w:p>
    <w:p>
      <w:pPr>
        <w:spacing w:after="140"/>
      </w:pPr>
      <w:r>
        <w:rPr>
          <w:rFonts w:ascii="Arial" w:cs="Arial" w:eastAsia="Arial" w:hAnsi="Arial"/>
          <w:sz w:val="21"/>
          <w:szCs w:val="21"/>
        </w:rPr>
        <w:t xml:space="preserve">Complete the rows relevant to your product family. Leave blank and write “supplier recommend” where you want the vendor’s own recommendation rather than a fixed spec — useful for chip selection when you’re not yet committed to a specific part number.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rPr>
          <w:cantSplit/>
        </w:trPr>
        <w:tc>
          <w:tcPr>
            <w:tcW w:type="dxa" w:w="3120"/>
            <w:tcBorders>
              <w:top w:val="single" w:color="BFBFBF" w:sz="4"/>
              <w:left w:val="single" w:color="BFBFBF" w:sz="4"/>
              <w:bottom w:val="single" w:color="BFBFBF" w:sz="4"/>
              <w:right w:val="single" w:color="BFBFBF" w:sz="4"/>
            </w:tcBorders>
            <w:shd w:fill="D9E2F3"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Requirement</w:t>
            </w:r>
          </w:p>
        </w:tc>
        <w:tc>
          <w:tcPr>
            <w:tcW w:type="dxa" w:w="6240"/>
            <w:tcBorders>
              <w:top w:val="single" w:color="BFBFBF" w:sz="4"/>
              <w:left w:val="single" w:color="BFBFBF" w:sz="4"/>
              <w:bottom w:val="single" w:color="BFBFBF" w:sz="4"/>
              <w:right w:val="single" w:color="BFBFBF" w:sz="4"/>
            </w:tcBorders>
            <w:shd w:fill="D9E2F3"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Buyer specification</w:t>
            </w:r>
          </w:p>
        </w:tc>
      </w:tr>
      <w:tr>
        <w:trPr>
          <w:cantSplit/>
        </w:trPr>
        <w:tc>
          <w:tcPr>
            <w:tcW w:type="dxa" w:w="3120"/>
            <w:tcBorders>
              <w:top w:val="single" w:color="BFBFBF" w:sz="4"/>
              <w:left w:val="single" w:color="BFBFBF" w:sz="4"/>
              <w:bottom w:val="single" w:color="BFBFBF" w:sz="4"/>
              <w:right w:val="single" w:color="BFBFBF" w:sz="4"/>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Frequency band</w:t>
            </w:r>
          </w:p>
        </w:tc>
        <w:tc>
          <w:tcPr>
            <w:tcW w:type="dxa" w:w="6240"/>
            <w:tcBorders>
              <w:top w:val="single" w:color="BFBFBF" w:sz="4"/>
              <w:left w:val="single" w:color="BFBFBF" w:sz="4"/>
              <w:bottom w:val="single" w:color="BFBFBF" w:sz="4"/>
              <w:right w:val="single" w:color="BFBFBF" w:sz="4"/>
            </w:tcBorders>
            <w:tcMar>
              <w:top w:type="dxa" w:w="200"/>
              <w:left w:type="dxa" w:w="120"/>
              <w:bottom w:type="dxa" w:w="200"/>
              <w:right w:type="dxa" w:w="120"/>
            </w:tcMar>
          </w:tcPr>
          <w:p>
            <w:r>
              <w:rPr>
                <w:sz w:val="20"/>
                <w:szCs w:val="20"/>
              </w:rPr>
              <w:t xml:space="preserve"/>
            </w:r>
          </w:p>
        </w:tc>
      </w:tr>
      <w:tr>
        <w:trPr>
          <w:cantSplit/>
        </w:trPr>
        <w:tc>
          <w:tcPr>
            <w:tcW w:type="dxa" w:w="3120"/>
            <w:tcBorders>
              <w:top w:val="single" w:color="BFBFBF" w:sz="4"/>
              <w:left w:val="single" w:color="BFBFBF" w:sz="4"/>
              <w:bottom w:val="single" w:color="BFBFBF" w:sz="4"/>
              <w:right w:val="single" w:color="BFBFBF" w:sz="4"/>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Chip / security tier</w:t>
            </w:r>
          </w:p>
        </w:tc>
        <w:tc>
          <w:tcPr>
            <w:tcW w:type="dxa" w:w="6240"/>
            <w:tcBorders>
              <w:top w:val="single" w:color="BFBFBF" w:sz="4"/>
              <w:left w:val="single" w:color="BFBFBF" w:sz="4"/>
              <w:bottom w:val="single" w:color="BFBFBF" w:sz="4"/>
              <w:right w:val="single" w:color="BFBFBF" w:sz="4"/>
            </w:tcBorders>
            <w:tcMar>
              <w:top w:type="dxa" w:w="200"/>
              <w:left w:type="dxa" w:w="120"/>
              <w:bottom w:type="dxa" w:w="200"/>
              <w:right w:type="dxa" w:w="120"/>
            </w:tcMar>
          </w:tcPr>
          <w:p>
            <w:r>
              <w:rPr>
                <w:sz w:val="20"/>
                <w:szCs w:val="20"/>
              </w:rPr>
              <w:t xml:space="preserve"/>
            </w:r>
          </w:p>
        </w:tc>
      </w:tr>
      <w:tr>
        <w:trPr>
          <w:cantSplit/>
        </w:trPr>
        <w:tc>
          <w:tcPr>
            <w:tcW w:type="dxa" w:w="3120"/>
            <w:tcBorders>
              <w:top w:val="single" w:color="BFBFBF" w:sz="4"/>
              <w:left w:val="single" w:color="BFBFBF" w:sz="4"/>
              <w:bottom w:val="single" w:color="BFBFBF" w:sz="4"/>
              <w:right w:val="single" w:color="BFBFBF" w:sz="4"/>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Approved chip SKU + alternates</w:t>
            </w:r>
          </w:p>
        </w:tc>
        <w:tc>
          <w:tcPr>
            <w:tcW w:type="dxa" w:w="6240"/>
            <w:tcBorders>
              <w:top w:val="single" w:color="BFBFBF" w:sz="4"/>
              <w:left w:val="single" w:color="BFBFBF" w:sz="4"/>
              <w:bottom w:val="single" w:color="BFBFBF" w:sz="4"/>
              <w:right w:val="single" w:color="BFBFBF" w:sz="4"/>
            </w:tcBorders>
            <w:tcMar>
              <w:top w:type="dxa" w:w="200"/>
              <w:left w:type="dxa" w:w="120"/>
              <w:bottom w:type="dxa" w:w="200"/>
              <w:right w:type="dxa" w:w="120"/>
            </w:tcMar>
          </w:tcPr>
          <w:p>
            <w:r>
              <w:rPr>
                <w:sz w:val="20"/>
                <w:szCs w:val="20"/>
              </w:rPr>
              <w:t xml:space="preserve"/>
            </w:r>
          </w:p>
        </w:tc>
      </w:tr>
      <w:tr>
        <w:trPr>
          <w:cantSplit/>
        </w:trPr>
        <w:tc>
          <w:tcPr>
            <w:tcW w:type="dxa" w:w="3120"/>
            <w:tcBorders>
              <w:top w:val="single" w:color="BFBFBF" w:sz="4"/>
              <w:left w:val="single" w:color="BFBFBF" w:sz="4"/>
              <w:bottom w:val="single" w:color="BFBFBF" w:sz="4"/>
              <w:right w:val="single" w:color="BFBFBF" w:sz="4"/>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Memory capacity</w:t>
            </w:r>
          </w:p>
        </w:tc>
        <w:tc>
          <w:tcPr>
            <w:tcW w:type="dxa" w:w="6240"/>
            <w:tcBorders>
              <w:top w:val="single" w:color="BFBFBF" w:sz="4"/>
              <w:left w:val="single" w:color="BFBFBF" w:sz="4"/>
              <w:bottom w:val="single" w:color="BFBFBF" w:sz="4"/>
              <w:right w:val="single" w:color="BFBFBF" w:sz="4"/>
            </w:tcBorders>
            <w:tcMar>
              <w:top w:type="dxa" w:w="200"/>
              <w:left w:type="dxa" w:w="120"/>
              <w:bottom w:type="dxa" w:w="200"/>
              <w:right w:type="dxa" w:w="120"/>
            </w:tcMar>
          </w:tcPr>
          <w:p>
            <w:r>
              <w:rPr>
                <w:sz w:val="20"/>
                <w:szCs w:val="20"/>
              </w:rPr>
              <w:t xml:space="preserve"/>
            </w:r>
          </w:p>
        </w:tc>
      </w:tr>
      <w:tr>
        <w:trPr>
          <w:cantSplit/>
        </w:trPr>
        <w:tc>
          <w:tcPr>
            <w:tcW w:type="dxa" w:w="3120"/>
            <w:tcBorders>
              <w:top w:val="single" w:color="BFBFBF" w:sz="4"/>
              <w:left w:val="single" w:color="BFBFBF" w:sz="4"/>
              <w:bottom w:val="single" w:color="BFBFBF" w:sz="4"/>
              <w:right w:val="single" w:color="BFBFBF" w:sz="4"/>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Read range / distance</w:t>
            </w:r>
          </w:p>
        </w:tc>
        <w:tc>
          <w:tcPr>
            <w:tcW w:type="dxa" w:w="6240"/>
            <w:tcBorders>
              <w:top w:val="single" w:color="BFBFBF" w:sz="4"/>
              <w:left w:val="single" w:color="BFBFBF" w:sz="4"/>
              <w:bottom w:val="single" w:color="BFBFBF" w:sz="4"/>
              <w:right w:val="single" w:color="BFBFBF" w:sz="4"/>
            </w:tcBorders>
            <w:tcMar>
              <w:top w:type="dxa" w:w="200"/>
              <w:left w:type="dxa" w:w="120"/>
              <w:bottom w:type="dxa" w:w="200"/>
              <w:right w:type="dxa" w:w="120"/>
            </w:tcMar>
          </w:tcPr>
          <w:p>
            <w:r>
              <w:rPr>
                <w:sz w:val="20"/>
                <w:szCs w:val="20"/>
              </w:rPr>
              <w:t xml:space="preserve"/>
            </w:r>
          </w:p>
        </w:tc>
      </w:tr>
      <w:tr>
        <w:trPr>
          <w:cantSplit/>
        </w:trPr>
        <w:tc>
          <w:tcPr>
            <w:tcW w:type="dxa" w:w="3120"/>
            <w:tcBorders>
              <w:top w:val="single" w:color="BFBFBF" w:sz="4"/>
              <w:left w:val="single" w:color="BFBFBF" w:sz="4"/>
              <w:bottom w:val="single" w:color="BFBFBF" w:sz="4"/>
              <w:right w:val="single" w:color="BFBFBF" w:sz="4"/>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Substrate / material</w:t>
            </w:r>
          </w:p>
        </w:tc>
        <w:tc>
          <w:tcPr>
            <w:tcW w:type="dxa" w:w="6240"/>
            <w:tcBorders>
              <w:top w:val="single" w:color="BFBFBF" w:sz="4"/>
              <w:left w:val="single" w:color="BFBFBF" w:sz="4"/>
              <w:bottom w:val="single" w:color="BFBFBF" w:sz="4"/>
              <w:right w:val="single" w:color="BFBFBF" w:sz="4"/>
            </w:tcBorders>
            <w:tcMar>
              <w:top w:type="dxa" w:w="200"/>
              <w:left w:type="dxa" w:w="120"/>
              <w:bottom w:type="dxa" w:w="200"/>
              <w:right w:type="dxa" w:w="120"/>
            </w:tcMar>
          </w:tcPr>
          <w:p>
            <w:r>
              <w:rPr>
                <w:sz w:val="20"/>
                <w:szCs w:val="20"/>
              </w:rPr>
              <w:t xml:space="preserve"/>
            </w:r>
          </w:p>
        </w:tc>
      </w:tr>
      <w:tr>
        <w:trPr>
          <w:cantSplit/>
        </w:trPr>
        <w:tc>
          <w:tcPr>
            <w:tcW w:type="dxa" w:w="3120"/>
            <w:tcBorders>
              <w:top w:val="single" w:color="BFBFBF" w:sz="4"/>
              <w:left w:val="single" w:color="BFBFBF" w:sz="4"/>
              <w:bottom w:val="single" w:color="BFBFBF" w:sz="4"/>
              <w:right w:val="single" w:color="BFBFBF" w:sz="4"/>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Operating temperature range</w:t>
            </w:r>
          </w:p>
        </w:tc>
        <w:tc>
          <w:tcPr>
            <w:tcW w:type="dxa" w:w="6240"/>
            <w:tcBorders>
              <w:top w:val="single" w:color="BFBFBF" w:sz="4"/>
              <w:left w:val="single" w:color="BFBFBF" w:sz="4"/>
              <w:bottom w:val="single" w:color="BFBFBF" w:sz="4"/>
              <w:right w:val="single" w:color="BFBFBF" w:sz="4"/>
            </w:tcBorders>
            <w:tcMar>
              <w:top w:type="dxa" w:w="200"/>
              <w:left w:type="dxa" w:w="120"/>
              <w:bottom w:type="dxa" w:w="200"/>
              <w:right w:type="dxa" w:w="120"/>
            </w:tcMar>
          </w:tcPr>
          <w:p>
            <w:r>
              <w:rPr>
                <w:sz w:val="20"/>
                <w:szCs w:val="20"/>
              </w:rPr>
              <w:t xml:space="preserve"/>
            </w:r>
          </w:p>
        </w:tc>
      </w:tr>
      <w:tr>
        <w:trPr>
          <w:cantSplit/>
        </w:trPr>
        <w:tc>
          <w:tcPr>
            <w:tcW w:type="dxa" w:w="3120"/>
            <w:tcBorders>
              <w:top w:val="single" w:color="BFBFBF" w:sz="4"/>
              <w:left w:val="single" w:color="BFBFBF" w:sz="4"/>
              <w:bottom w:val="single" w:color="BFBFBF" w:sz="4"/>
              <w:right w:val="single" w:color="BFBFBF" w:sz="4"/>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Durability requirement (wash cycles, IP rating, wear cycles)</w:t>
            </w:r>
          </w:p>
        </w:tc>
        <w:tc>
          <w:tcPr>
            <w:tcW w:type="dxa" w:w="6240"/>
            <w:tcBorders>
              <w:top w:val="single" w:color="BFBFBF" w:sz="4"/>
              <w:left w:val="single" w:color="BFBFBF" w:sz="4"/>
              <w:bottom w:val="single" w:color="BFBFBF" w:sz="4"/>
              <w:right w:val="single" w:color="BFBFBF" w:sz="4"/>
            </w:tcBorders>
            <w:tcMar>
              <w:top w:type="dxa" w:w="200"/>
              <w:left w:type="dxa" w:w="120"/>
              <w:bottom w:type="dxa" w:w="200"/>
              <w:right w:type="dxa" w:w="120"/>
            </w:tcMar>
          </w:tcPr>
          <w:p>
            <w:r>
              <w:rPr>
                <w:sz w:val="20"/>
                <w:szCs w:val="20"/>
              </w:rPr>
              <w:t xml:space="preserve"/>
            </w:r>
          </w:p>
        </w:tc>
      </w:tr>
      <w:tr>
        <w:trPr>
          <w:cantSplit/>
        </w:trPr>
        <w:tc>
          <w:tcPr>
            <w:tcW w:type="dxa" w:w="3120"/>
            <w:tcBorders>
              <w:top w:val="single" w:color="BFBFBF" w:sz="4"/>
              <w:left w:val="single" w:color="BFBFBF" w:sz="4"/>
              <w:bottom w:val="single" w:color="BFBFBF" w:sz="4"/>
              <w:right w:val="single" w:color="BFBFBF" w:sz="4"/>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Printing / artwork requirements</w:t>
            </w:r>
          </w:p>
        </w:tc>
        <w:tc>
          <w:tcPr>
            <w:tcW w:type="dxa" w:w="6240"/>
            <w:tcBorders>
              <w:top w:val="single" w:color="BFBFBF" w:sz="4"/>
              <w:left w:val="single" w:color="BFBFBF" w:sz="4"/>
              <w:bottom w:val="single" w:color="BFBFBF" w:sz="4"/>
              <w:right w:val="single" w:color="BFBFBF" w:sz="4"/>
            </w:tcBorders>
            <w:tcMar>
              <w:top w:type="dxa" w:w="200"/>
              <w:left w:type="dxa" w:w="120"/>
              <w:bottom w:type="dxa" w:w="200"/>
              <w:right w:type="dxa" w:w="120"/>
            </w:tcMar>
          </w:tcPr>
          <w:p>
            <w:r>
              <w:rPr>
                <w:sz w:val="20"/>
                <w:szCs w:val="20"/>
              </w:rPr>
              <w:t xml:space="preserve"/>
            </w:r>
          </w:p>
        </w:tc>
      </w:tr>
      <w:tr>
        <w:trPr>
          <w:cantSplit/>
        </w:trPr>
        <w:tc>
          <w:tcPr>
            <w:tcW w:type="dxa" w:w="3120"/>
            <w:tcBorders>
              <w:top w:val="single" w:color="BFBFBF" w:sz="4"/>
              <w:left w:val="single" w:color="BFBFBF" w:sz="4"/>
              <w:bottom w:val="single" w:color="BFBFBF" w:sz="4"/>
              <w:right w:val="single" w:color="BFBFBF" w:sz="4"/>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Encoding requirements (pre-encoding, NDEF, EPC/SGTIN)</w:t>
            </w:r>
          </w:p>
        </w:tc>
        <w:tc>
          <w:tcPr>
            <w:tcW w:type="dxa" w:w="6240"/>
            <w:tcBorders>
              <w:top w:val="single" w:color="BFBFBF" w:sz="4"/>
              <w:left w:val="single" w:color="BFBFBF" w:sz="4"/>
              <w:bottom w:val="single" w:color="BFBFBF" w:sz="4"/>
              <w:right w:val="single" w:color="BFBFBF" w:sz="4"/>
            </w:tcBorders>
            <w:tcMar>
              <w:top w:type="dxa" w:w="200"/>
              <w:left w:type="dxa" w:w="120"/>
              <w:bottom w:type="dxa" w:w="200"/>
              <w:right w:type="dxa" w:w="120"/>
            </w:tcMar>
          </w:tcPr>
          <w:p>
            <w:r>
              <w:rPr>
                <w:sz w:val="20"/>
                <w:szCs w:val="20"/>
              </w:rPr>
              <w:t xml:space="preserve"/>
            </w:r>
          </w:p>
        </w:tc>
      </w:tr>
      <w:tr>
        <w:trPr>
          <w:cantSplit/>
        </w:trPr>
        <w:tc>
          <w:tcPr>
            <w:tcW w:type="dxa" w:w="3120"/>
            <w:tcBorders>
              <w:top w:val="single" w:color="BFBFBF" w:sz="4"/>
              <w:left w:val="single" w:color="BFBFBF" w:sz="4"/>
              <w:bottom w:val="single" w:color="BFBFBF" w:sz="4"/>
              <w:right w:val="single" w:color="BFBFBF" w:sz="4"/>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Packaging requirements</w:t>
            </w:r>
          </w:p>
        </w:tc>
        <w:tc>
          <w:tcPr>
            <w:tcW w:type="dxa" w:w="6240"/>
            <w:tcBorders>
              <w:top w:val="single" w:color="BFBFBF" w:sz="4"/>
              <w:left w:val="single" w:color="BFBFBF" w:sz="4"/>
              <w:bottom w:val="single" w:color="BFBFBF" w:sz="4"/>
              <w:right w:val="single" w:color="BFBFBF" w:sz="4"/>
            </w:tcBorders>
            <w:tcMar>
              <w:top w:type="dxa" w:w="200"/>
              <w:left w:type="dxa" w:w="120"/>
              <w:bottom w:type="dxa" w:w="200"/>
              <w:right w:type="dxa" w:w="120"/>
            </w:tcMar>
          </w:tcPr>
          <w:p>
            <w:r>
              <w:rPr>
                <w:sz w:val="20"/>
                <w:szCs w:val="20"/>
              </w:rPr>
              <w:t xml:space="preserve"/>
            </w:r>
          </w:p>
        </w:tc>
      </w:tr>
    </w:tbl>
    <w:p>
      <w:pPr>
        <w:pStyle w:val="Heading1"/>
        <w:spacing w:after="160" w:before="320"/>
      </w:pPr>
      <w:r>
        <w:t xml:space="preserve">3. Compliance &amp; certification requirements</w:t>
      </w:r>
    </w:p>
    <w:p>
      <w:pPr>
        <w:spacing w:after="140"/>
      </w:pPr>
      <w:r>
        <w:rPr>
          <w:rFonts w:ascii="Arial" w:cs="Arial" w:eastAsia="Arial" w:hAnsi="Arial"/>
          <w:sz w:val="21"/>
          <w:szCs w:val="21"/>
        </w:rPr>
        <w:t xml:space="preserve">Check every certification your programme requires, and require the supplier to attach a current certificate copy — 5–15% of certificates volunteered in RFP responses are expired or fabricated, and the issuing body’s public verification page (ISO certification body website, ARC at arc.auburn.edu) takes minutes to check.</w:t>
      </w:r>
    </w:p>
    <w:p>
      <w:pPr>
        <w:pStyle w:val="ListParagraph"/>
        <w:numPr>
          <w:ilvl w:val="0"/>
          <w:numId w:val="2"/>
        </w:numPr>
        <w:spacing w:after="80"/>
      </w:pPr>
      <w:r>
        <w:rPr>
          <w:rFonts w:ascii="Arial" w:cs="Arial" w:eastAsia="Arial" w:hAnsi="Arial"/>
          <w:sz w:val="21"/>
          <w:szCs w:val="21"/>
        </w:rPr>
        <w:t xml:space="preserve">☐ ISO 9001 (quality management)</w:t>
      </w:r>
    </w:p>
    <w:p>
      <w:pPr>
        <w:pStyle w:val="ListParagraph"/>
        <w:numPr>
          <w:ilvl w:val="0"/>
          <w:numId w:val="2"/>
        </w:numPr>
        <w:spacing w:after="80"/>
      </w:pPr>
      <w:r>
        <w:rPr>
          <w:rFonts w:ascii="Arial" w:cs="Arial" w:eastAsia="Arial" w:hAnsi="Arial"/>
          <w:sz w:val="21"/>
          <w:szCs w:val="21"/>
        </w:rPr>
        <w:t xml:space="preserve">☐ ISO 14001 (environmental management)</w:t>
      </w:r>
    </w:p>
    <w:p>
      <w:pPr>
        <w:pStyle w:val="ListParagraph"/>
        <w:numPr>
          <w:ilvl w:val="0"/>
          <w:numId w:val="2"/>
        </w:numPr>
        <w:spacing w:after="80"/>
      </w:pPr>
      <w:r>
        <w:rPr>
          <w:rFonts w:ascii="Arial" w:cs="Arial" w:eastAsia="Arial" w:hAnsi="Arial"/>
          <w:sz w:val="21"/>
          <w:szCs w:val="21"/>
        </w:rPr>
        <w:t xml:space="preserve">☐ RoHS (restriction of hazardous substances)</w:t>
      </w:r>
    </w:p>
    <w:p>
      <w:pPr>
        <w:pStyle w:val="ListParagraph"/>
        <w:numPr>
          <w:ilvl w:val="0"/>
          <w:numId w:val="2"/>
        </w:numPr>
        <w:spacing w:after="80"/>
      </w:pPr>
      <w:r>
        <w:rPr>
          <w:rFonts w:ascii="Arial" w:cs="Arial" w:eastAsia="Arial" w:hAnsi="Arial"/>
          <w:sz w:val="21"/>
          <w:szCs w:val="21"/>
        </w:rPr>
        <w:t xml:space="preserve">☐ REACH (EU chemical regulation, SVHC declaration)</w:t>
      </w:r>
    </w:p>
    <w:p>
      <w:pPr>
        <w:pStyle w:val="ListParagraph"/>
        <w:numPr>
          <w:ilvl w:val="0"/>
          <w:numId w:val="2"/>
        </w:numPr>
        <w:spacing w:after="80"/>
      </w:pPr>
      <w:r>
        <w:rPr>
          <w:rFonts w:ascii="Arial" w:cs="Arial" w:eastAsia="Arial" w:hAnsi="Arial"/>
          <w:sz w:val="21"/>
          <w:szCs w:val="21"/>
        </w:rPr>
        <w:t xml:space="preserve">☐ CE marking (EU conformity)</w:t>
      </w:r>
    </w:p>
    <w:p>
      <w:pPr>
        <w:pStyle w:val="ListParagraph"/>
        <w:numPr>
          <w:ilvl w:val="0"/>
          <w:numId w:val="2"/>
        </w:numPr>
        <w:spacing w:after="80"/>
      </w:pPr>
      <w:r>
        <w:rPr>
          <w:rFonts w:ascii="Arial" w:cs="Arial" w:eastAsia="Arial" w:hAnsi="Arial"/>
          <w:sz w:val="21"/>
          <w:szCs w:val="21"/>
        </w:rPr>
        <w:t xml:space="preserve">☐ FCC (US radio-frequency equipment, for readers/encoders)</w:t>
      </w:r>
    </w:p>
    <w:p>
      <w:pPr>
        <w:pStyle w:val="ListParagraph"/>
        <w:numPr>
          <w:ilvl w:val="0"/>
          <w:numId w:val="2"/>
        </w:numPr>
        <w:spacing w:after="80"/>
      </w:pPr>
      <w:r>
        <w:rPr>
          <w:rFonts w:ascii="Arial" w:cs="Arial" w:eastAsia="Arial" w:hAnsi="Arial"/>
          <w:sz w:val="21"/>
          <w:szCs w:val="21"/>
        </w:rPr>
        <w:t xml:space="preserve">☐ ARC certification (retail source-tagging performance standard)</w:t>
      </w:r>
    </w:p>
    <w:p>
      <w:pPr>
        <w:pStyle w:val="ListParagraph"/>
        <w:numPr>
          <w:ilvl w:val="0"/>
          <w:numId w:val="2"/>
        </w:numPr>
        <w:spacing w:after="80"/>
      </w:pPr>
      <w:r>
        <w:rPr>
          <w:rFonts w:ascii="Arial" w:cs="Arial" w:eastAsia="Arial" w:hAnsi="Arial"/>
          <w:sz w:val="21"/>
          <w:szCs w:val="21"/>
        </w:rPr>
        <w:t xml:space="preserve">☐ BSCI or equivalent social-compliance audit</w:t>
      </w:r>
    </w:p>
    <w:p>
      <w:pPr>
        <w:pStyle w:val="ListParagraph"/>
        <w:numPr>
          <w:ilvl w:val="0"/>
          <w:numId w:val="2"/>
        </w:numPr>
        <w:spacing w:after="80"/>
      </w:pPr>
      <w:r>
        <w:rPr>
          <w:rFonts w:ascii="Arial" w:cs="Arial" w:eastAsia="Arial" w:hAnsi="Arial"/>
          <w:sz w:val="21"/>
          <w:szCs w:val="21"/>
        </w:rPr>
        <w:t xml:space="preserve">☐ Industry-specific: DSCSA (pharma), FSMA 204 (food), ISO 13485 (medical device) — specify: ______________</w:t>
      </w:r>
    </w:p>
    <w:p>
      <w:pPr>
        <w:pStyle w:val="ListParagraph"/>
        <w:numPr>
          <w:ilvl w:val="0"/>
          <w:numId w:val="2"/>
        </w:numPr>
        <w:spacing w:after="80"/>
      </w:pPr>
      <w:r>
        <w:rPr>
          <w:rFonts w:ascii="Arial" w:cs="Arial" w:eastAsia="Arial" w:hAnsi="Arial"/>
          <w:sz w:val="21"/>
          <w:szCs w:val="21"/>
        </w:rPr>
        <w:t xml:space="preserve">☐ Other: ______________________________________________</w:t>
      </w:r>
    </w:p>
    <w:p>
      <w:pPr>
        <w:pStyle w:val="Heading1"/>
        <w:spacing w:after="160" w:before="320"/>
      </w:pPr>
      <w:r>
        <w:t xml:space="preserve">4. Vendor qualification questions</w:t>
      </w:r>
    </w:p>
    <w:p>
      <w:pPr>
        <w:spacing w:after="140"/>
      </w:pPr>
      <w:r>
        <w:rPr>
          <w:rFonts w:ascii="Arial" w:cs="Arial" w:eastAsia="Arial" w:hAnsi="Arial"/>
          <w:sz w:val="21"/>
          <w:szCs w:val="21"/>
        </w:rPr>
        <w:t xml:space="preserve">Ask every shortlisted supplier all ten questions in the same order. Comparability — not any single answer — is what makes an RFP more useful than an informal price inquiry.</w:t>
      </w:r>
    </w:p>
    <w:p>
      <w:pPr>
        <w:pStyle w:val="ListParagraph"/>
        <w:numPr>
          <w:ilvl w:val="0"/>
          <w:numId w:val="3"/>
        </w:numPr>
        <w:spacing w:after="100"/>
      </w:pPr>
      <w:r>
        <w:rPr>
          <w:rFonts w:ascii="Arial" w:cs="Arial" w:eastAsia="Arial" w:hAnsi="Arial"/>
          <w:sz w:val="21"/>
          <w:szCs w:val="21"/>
        </w:rPr>
        <w:t xml:space="preserve">Volume-tier pricing. Provide unit pricing at each of the volume tiers checked in Section 1.3 (or your own nearest equivalent tiers).</w:t>
      </w:r>
    </w:p>
    <w:p>
      <w:pPr>
        <w:pStyle w:val="ListParagraph"/>
        <w:numPr>
          <w:ilvl w:val="0"/>
          <w:numId w:val="3"/>
        </w:numPr>
        <w:spacing w:after="100"/>
      </w:pPr>
      <w:r>
        <w:rPr>
          <w:rFonts w:ascii="Arial" w:cs="Arial" w:eastAsia="Arial" w:hAnsi="Arial"/>
          <w:sz w:val="21"/>
          <w:szCs w:val="21"/>
        </w:rPr>
        <w:t xml:space="preserve">Chip SKU and approved alternates. Confirm the exact chip part number quoted and list any alternates you would substitute without prior written approval (there should be none without approval).</w:t>
      </w:r>
    </w:p>
    <w:p>
      <w:pPr>
        <w:pStyle w:val="ListParagraph"/>
        <w:numPr>
          <w:ilvl w:val="0"/>
          <w:numId w:val="3"/>
        </w:numPr>
        <w:spacing w:after="100"/>
      </w:pPr>
      <w:r>
        <w:rPr>
          <w:rFonts w:ascii="Arial" w:cs="Arial" w:eastAsia="Arial" w:hAnsi="Arial"/>
          <w:sz w:val="21"/>
          <w:szCs w:val="21"/>
        </w:rPr>
        <w:t xml:space="preserve">Certifications. Attach current certificate copies for every item checked in Section 3, plus the issuing body’s verification URL.</w:t>
      </w:r>
    </w:p>
    <w:p>
      <w:pPr>
        <w:pStyle w:val="ListParagraph"/>
        <w:numPr>
          <w:ilvl w:val="0"/>
          <w:numId w:val="3"/>
        </w:numPr>
        <w:spacing w:after="100"/>
      </w:pPr>
      <w:r>
        <w:rPr>
          <w:rFonts w:ascii="Arial" w:cs="Arial" w:eastAsia="Arial" w:hAnsi="Arial"/>
          <w:sz w:val="21"/>
          <w:szCs w:val="21"/>
        </w:rPr>
        <w:t xml:space="preserve">Tooling, setup and sample fees. Itemize separately from unit price — do not fold into “first-order pricing.”</w:t>
      </w:r>
    </w:p>
    <w:p>
      <w:pPr>
        <w:pStyle w:val="ListParagraph"/>
        <w:numPr>
          <w:ilvl w:val="0"/>
          <w:numId w:val="3"/>
        </w:numPr>
        <w:spacing w:after="100"/>
      </w:pPr>
      <w:r>
        <w:rPr>
          <w:rFonts w:ascii="Arial" w:cs="Arial" w:eastAsia="Arial" w:hAnsi="Arial"/>
          <w:sz w:val="21"/>
          <w:szCs w:val="21"/>
        </w:rPr>
        <w:t xml:space="preserve">Lead time. State lead time for (a) first sample, (b) first production order, (c) repeat orders, and (d) during Chinese New Year / factory holiday periods.</w:t>
      </w:r>
    </w:p>
    <w:p>
      <w:pPr>
        <w:pStyle w:val="ListParagraph"/>
        <w:numPr>
          <w:ilvl w:val="0"/>
          <w:numId w:val="3"/>
        </w:numPr>
        <w:spacing w:after="100"/>
      </w:pPr>
      <w:r>
        <w:rPr>
          <w:rFonts w:ascii="Arial" w:cs="Arial" w:eastAsia="Arial" w:hAnsi="Arial"/>
          <w:sz w:val="21"/>
          <w:szCs w:val="21"/>
        </w:rPr>
        <w:t xml:space="preserve">Quality control process. Describe yield rate, inspection method, and whether third-party pre-shipment audits are accepted.</w:t>
      </w:r>
    </w:p>
    <w:p>
      <w:pPr>
        <w:pStyle w:val="ListParagraph"/>
        <w:numPr>
          <w:ilvl w:val="0"/>
          <w:numId w:val="3"/>
        </w:numPr>
        <w:spacing w:after="100"/>
      </w:pPr>
      <w:r>
        <w:rPr>
          <w:rFonts w:ascii="Arial" w:cs="Arial" w:eastAsia="Arial" w:hAnsi="Arial"/>
          <w:sz w:val="21"/>
          <w:szCs w:val="21"/>
        </w:rPr>
        <w:t xml:space="preserve">White-label / OEM capability. State MOQ and lead time if applicable, even if not needed for this order.</w:t>
      </w:r>
    </w:p>
    <w:p>
      <w:pPr>
        <w:pStyle w:val="ListParagraph"/>
        <w:numPr>
          <w:ilvl w:val="0"/>
          <w:numId w:val="3"/>
        </w:numPr>
        <w:spacing w:after="100"/>
      </w:pPr>
      <w:r>
        <w:rPr>
          <w:rFonts w:ascii="Arial" w:cs="Arial" w:eastAsia="Arial" w:hAnsi="Arial"/>
          <w:sz w:val="21"/>
          <w:szCs w:val="21"/>
        </w:rPr>
        <w:t xml:space="preserve">Payment terms. State standard terms offered (e.g. T/T 30/70, L/C at sight, escrow) and any terms available to repeat buyers.</w:t>
      </w:r>
    </w:p>
    <w:p>
      <w:pPr>
        <w:pStyle w:val="ListParagraph"/>
        <w:numPr>
          <w:ilvl w:val="0"/>
          <w:numId w:val="3"/>
        </w:numPr>
        <w:spacing w:after="100"/>
      </w:pPr>
      <w:r>
        <w:rPr>
          <w:rFonts w:ascii="Arial" w:cs="Arial" w:eastAsia="Arial" w:hAnsi="Arial"/>
          <w:sz w:val="21"/>
          <w:szCs w:val="21"/>
        </w:rPr>
        <w:t xml:space="preserve">Production capacity. State current factory utilization and how this order’s volume compares to existing capacity — suppliers running above ~90% utilization will deprioritize new accounts under load.</w:t>
      </w:r>
    </w:p>
    <w:p>
      <w:pPr>
        <w:pStyle w:val="ListParagraph"/>
        <w:numPr>
          <w:ilvl w:val="0"/>
          <w:numId w:val="3"/>
        </w:numPr>
        <w:spacing w:after="100"/>
      </w:pPr>
      <w:r>
        <w:rPr>
          <w:rFonts w:ascii="Arial" w:cs="Arial" w:eastAsia="Arial" w:hAnsi="Arial"/>
          <w:sz w:val="21"/>
          <w:szCs w:val="21"/>
        </w:rPr>
        <w:t xml:space="preserve">Reference customers. Provide at least 3 references of comparable order size in our region who are willing to speak by phone or email.</w:t>
      </w:r>
    </w:p>
    <w:p>
      <w:pPr>
        <w:pStyle w:val="Heading1"/>
        <w:spacing w:after="160" w:before="320"/>
      </w:pPr>
      <w:r>
        <w:t xml:space="preserve">5. Commercial terms requested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rPr>
          <w:cantSplit/>
        </w:trPr>
        <w:tc>
          <w:tcPr>
            <w:tcW w:type="dxa" w:w="3120"/>
            <w:tcBorders>
              <w:top w:val="single" w:color="BFBFBF" w:sz="4"/>
              <w:left w:val="single" w:color="BFBFBF" w:sz="4"/>
              <w:bottom w:val="single" w:color="BFBFBF" w:sz="4"/>
              <w:right w:val="single" w:color="BFBFBF" w:sz="4"/>
            </w:tcBorders>
            <w:shd w:fill="D9E2F3"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Term</w:t>
            </w:r>
          </w:p>
        </w:tc>
        <w:tc>
          <w:tcPr>
            <w:tcW w:type="dxa" w:w="6240"/>
            <w:tcBorders>
              <w:top w:val="single" w:color="BFBFBF" w:sz="4"/>
              <w:left w:val="single" w:color="BFBFBF" w:sz="4"/>
              <w:bottom w:val="single" w:color="BFBFBF" w:sz="4"/>
              <w:right w:val="single" w:color="BFBFBF" w:sz="4"/>
            </w:tcBorders>
            <w:shd w:fill="D9E2F3"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Supplier response</w:t>
            </w:r>
          </w:p>
        </w:tc>
      </w:tr>
      <w:tr>
        <w:trPr>
          <w:cantSplit/>
        </w:trPr>
        <w:tc>
          <w:tcPr>
            <w:tcW w:type="dxa" w:w="3120"/>
            <w:tcBorders>
              <w:top w:val="single" w:color="BFBFBF" w:sz="4"/>
              <w:left w:val="single" w:color="BFBFBF" w:sz="4"/>
              <w:bottom w:val="single" w:color="BFBFBF" w:sz="4"/>
              <w:right w:val="single" w:color="BFBFBF" w:sz="4"/>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Incoterm requested (EXW / FOB / CIF / DDP)</w:t>
            </w:r>
          </w:p>
        </w:tc>
        <w:tc>
          <w:tcPr>
            <w:tcW w:type="dxa" w:w="6240"/>
            <w:tcBorders>
              <w:top w:val="single" w:color="BFBFBF" w:sz="4"/>
              <w:left w:val="single" w:color="BFBFBF" w:sz="4"/>
              <w:bottom w:val="single" w:color="BFBFBF" w:sz="4"/>
              <w:right w:val="single" w:color="BFBFBF" w:sz="4"/>
            </w:tcBorders>
            <w:tcMar>
              <w:top w:type="dxa" w:w="200"/>
              <w:left w:type="dxa" w:w="120"/>
              <w:bottom w:type="dxa" w:w="200"/>
              <w:right w:type="dxa" w:w="120"/>
            </w:tcMar>
          </w:tcPr>
          <w:p>
            <w:r>
              <w:rPr>
                <w:sz w:val="20"/>
                <w:szCs w:val="20"/>
              </w:rPr>
              <w:t xml:space="preserve"/>
            </w:r>
          </w:p>
        </w:tc>
      </w:tr>
      <w:tr>
        <w:trPr>
          <w:cantSplit/>
        </w:trPr>
        <w:tc>
          <w:tcPr>
            <w:tcW w:type="dxa" w:w="3120"/>
            <w:tcBorders>
              <w:top w:val="single" w:color="BFBFBF" w:sz="4"/>
              <w:left w:val="single" w:color="BFBFBF" w:sz="4"/>
              <w:bottom w:val="single" w:color="BFBFBF" w:sz="4"/>
              <w:right w:val="single" w:color="BFBFBF" w:sz="4"/>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Named port / destination</w:t>
            </w:r>
          </w:p>
        </w:tc>
        <w:tc>
          <w:tcPr>
            <w:tcW w:type="dxa" w:w="6240"/>
            <w:tcBorders>
              <w:top w:val="single" w:color="BFBFBF" w:sz="4"/>
              <w:left w:val="single" w:color="BFBFBF" w:sz="4"/>
              <w:bottom w:val="single" w:color="BFBFBF" w:sz="4"/>
              <w:right w:val="single" w:color="BFBFBF" w:sz="4"/>
            </w:tcBorders>
            <w:tcMar>
              <w:top w:type="dxa" w:w="200"/>
              <w:left w:type="dxa" w:w="120"/>
              <w:bottom w:type="dxa" w:w="200"/>
              <w:right w:type="dxa" w:w="120"/>
            </w:tcMar>
          </w:tcPr>
          <w:p>
            <w:r>
              <w:rPr>
                <w:sz w:val="20"/>
                <w:szCs w:val="20"/>
              </w:rPr>
              <w:t xml:space="preserve"/>
            </w:r>
          </w:p>
        </w:tc>
      </w:tr>
      <w:tr>
        <w:trPr>
          <w:cantSplit/>
        </w:trPr>
        <w:tc>
          <w:tcPr>
            <w:tcW w:type="dxa" w:w="3120"/>
            <w:tcBorders>
              <w:top w:val="single" w:color="BFBFBF" w:sz="4"/>
              <w:left w:val="single" w:color="BFBFBF" w:sz="4"/>
              <w:bottom w:val="single" w:color="BFBFBF" w:sz="4"/>
              <w:right w:val="single" w:color="BFBFBF" w:sz="4"/>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Payment terms</w:t>
            </w:r>
          </w:p>
        </w:tc>
        <w:tc>
          <w:tcPr>
            <w:tcW w:type="dxa" w:w="6240"/>
            <w:tcBorders>
              <w:top w:val="single" w:color="BFBFBF" w:sz="4"/>
              <w:left w:val="single" w:color="BFBFBF" w:sz="4"/>
              <w:bottom w:val="single" w:color="BFBFBF" w:sz="4"/>
              <w:right w:val="single" w:color="BFBFBF" w:sz="4"/>
            </w:tcBorders>
            <w:tcMar>
              <w:top w:type="dxa" w:w="200"/>
              <w:left w:type="dxa" w:w="120"/>
              <w:bottom w:type="dxa" w:w="200"/>
              <w:right w:type="dxa" w:w="120"/>
            </w:tcMar>
          </w:tcPr>
          <w:p>
            <w:r>
              <w:rPr>
                <w:sz w:val="20"/>
                <w:szCs w:val="20"/>
              </w:rPr>
              <w:t xml:space="preserve"/>
            </w:r>
          </w:p>
        </w:tc>
      </w:tr>
      <w:tr>
        <w:trPr>
          <w:cantSplit/>
        </w:trPr>
        <w:tc>
          <w:tcPr>
            <w:tcW w:type="dxa" w:w="3120"/>
            <w:tcBorders>
              <w:top w:val="single" w:color="BFBFBF" w:sz="4"/>
              <w:left w:val="single" w:color="BFBFBF" w:sz="4"/>
              <w:bottom w:val="single" w:color="BFBFBF" w:sz="4"/>
              <w:right w:val="single" w:color="BFBFBF" w:sz="4"/>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Warranty period + coverage</w:t>
            </w:r>
          </w:p>
        </w:tc>
        <w:tc>
          <w:tcPr>
            <w:tcW w:type="dxa" w:w="6240"/>
            <w:tcBorders>
              <w:top w:val="single" w:color="BFBFBF" w:sz="4"/>
              <w:left w:val="single" w:color="BFBFBF" w:sz="4"/>
              <w:bottom w:val="single" w:color="BFBFBF" w:sz="4"/>
              <w:right w:val="single" w:color="BFBFBF" w:sz="4"/>
            </w:tcBorders>
            <w:tcMar>
              <w:top w:type="dxa" w:w="200"/>
              <w:left w:type="dxa" w:w="120"/>
              <w:bottom w:type="dxa" w:w="200"/>
              <w:right w:type="dxa" w:w="120"/>
            </w:tcMar>
          </w:tcPr>
          <w:p>
            <w:r>
              <w:rPr>
                <w:sz w:val="20"/>
                <w:szCs w:val="20"/>
              </w:rPr>
              <w:t xml:space="preserve"/>
            </w:r>
          </w:p>
        </w:tc>
      </w:tr>
      <w:tr>
        <w:trPr>
          <w:cantSplit/>
        </w:trPr>
        <w:tc>
          <w:tcPr>
            <w:tcW w:type="dxa" w:w="3120"/>
            <w:tcBorders>
              <w:top w:val="single" w:color="BFBFBF" w:sz="4"/>
              <w:left w:val="single" w:color="BFBFBF" w:sz="4"/>
              <w:bottom w:val="single" w:color="BFBFBF" w:sz="4"/>
              <w:right w:val="single" w:color="BFBFBF" w:sz="4"/>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Defect-rate cap + remedy</w:t>
            </w:r>
          </w:p>
        </w:tc>
        <w:tc>
          <w:tcPr>
            <w:tcW w:type="dxa" w:w="6240"/>
            <w:tcBorders>
              <w:top w:val="single" w:color="BFBFBF" w:sz="4"/>
              <w:left w:val="single" w:color="BFBFBF" w:sz="4"/>
              <w:bottom w:val="single" w:color="BFBFBF" w:sz="4"/>
              <w:right w:val="single" w:color="BFBFBF" w:sz="4"/>
            </w:tcBorders>
            <w:tcMar>
              <w:top w:type="dxa" w:w="200"/>
              <w:left w:type="dxa" w:w="120"/>
              <w:bottom w:type="dxa" w:w="200"/>
              <w:right w:type="dxa" w:w="120"/>
            </w:tcMar>
          </w:tcPr>
          <w:p>
            <w:r>
              <w:rPr>
                <w:sz w:val="20"/>
                <w:szCs w:val="20"/>
              </w:rPr>
              <w:t xml:space="preserve"/>
            </w:r>
          </w:p>
        </w:tc>
      </w:tr>
      <w:tr>
        <w:trPr>
          <w:cantSplit/>
        </w:trPr>
        <w:tc>
          <w:tcPr>
            <w:tcW w:type="dxa" w:w="3120"/>
            <w:tcBorders>
              <w:top w:val="single" w:color="BFBFBF" w:sz="4"/>
              <w:left w:val="single" w:color="BFBFBF" w:sz="4"/>
              <w:bottom w:val="single" w:color="BFBFBF" w:sz="4"/>
              <w:right w:val="single" w:color="BFBFBF" w:sz="4"/>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Late-shipment penalty (liquidated damages)</w:t>
            </w:r>
          </w:p>
        </w:tc>
        <w:tc>
          <w:tcPr>
            <w:tcW w:type="dxa" w:w="6240"/>
            <w:tcBorders>
              <w:top w:val="single" w:color="BFBFBF" w:sz="4"/>
              <w:left w:val="single" w:color="BFBFBF" w:sz="4"/>
              <w:bottom w:val="single" w:color="BFBFBF" w:sz="4"/>
              <w:right w:val="single" w:color="BFBFBF" w:sz="4"/>
            </w:tcBorders>
            <w:tcMar>
              <w:top w:type="dxa" w:w="200"/>
              <w:left w:type="dxa" w:w="120"/>
              <w:bottom w:type="dxa" w:w="200"/>
              <w:right w:type="dxa" w:w="120"/>
            </w:tcMar>
          </w:tcPr>
          <w:p>
            <w:r>
              <w:rPr>
                <w:sz w:val="20"/>
                <w:szCs w:val="20"/>
              </w:rPr>
              <w:t xml:space="preserve"/>
            </w:r>
          </w:p>
        </w:tc>
      </w:tr>
      <w:tr>
        <w:trPr>
          <w:cantSplit/>
        </w:trPr>
        <w:tc>
          <w:tcPr>
            <w:tcW w:type="dxa" w:w="3120"/>
            <w:tcBorders>
              <w:top w:val="single" w:color="BFBFBF" w:sz="4"/>
              <w:left w:val="single" w:color="BFBFBF" w:sz="4"/>
              <w:bottom w:val="single" w:color="BFBFBF" w:sz="4"/>
              <w:right w:val="single" w:color="BFBFBF" w:sz="4"/>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Chip-substitution penalty clause</w:t>
            </w:r>
          </w:p>
        </w:tc>
        <w:tc>
          <w:tcPr>
            <w:tcW w:type="dxa" w:w="6240"/>
            <w:tcBorders>
              <w:top w:val="single" w:color="BFBFBF" w:sz="4"/>
              <w:left w:val="single" w:color="BFBFBF" w:sz="4"/>
              <w:bottom w:val="single" w:color="BFBFBF" w:sz="4"/>
              <w:right w:val="single" w:color="BFBFBF" w:sz="4"/>
            </w:tcBorders>
            <w:tcMar>
              <w:top w:type="dxa" w:w="200"/>
              <w:left w:type="dxa" w:w="120"/>
              <w:bottom w:type="dxa" w:w="200"/>
              <w:right w:type="dxa" w:w="120"/>
            </w:tcMar>
          </w:tcPr>
          <w:p>
            <w:r>
              <w:rPr>
                <w:sz w:val="20"/>
                <w:szCs w:val="20"/>
              </w:rPr>
              <w:t xml:space="preserve"/>
            </w:r>
          </w:p>
        </w:tc>
      </w:tr>
      <w:tr>
        <w:trPr>
          <w:cantSplit/>
        </w:trPr>
        <w:tc>
          <w:tcPr>
            <w:tcW w:type="dxa" w:w="3120"/>
            <w:tcBorders>
              <w:top w:val="single" w:color="BFBFBF" w:sz="4"/>
              <w:left w:val="single" w:color="BFBFBF" w:sz="4"/>
              <w:bottom w:val="single" w:color="BFBFBF" w:sz="4"/>
              <w:right w:val="single" w:color="BFBFBF" w:sz="4"/>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Quoted price validity period</w:t>
            </w:r>
          </w:p>
        </w:tc>
        <w:tc>
          <w:tcPr>
            <w:tcW w:type="dxa" w:w="6240"/>
            <w:tcBorders>
              <w:top w:val="single" w:color="BFBFBF" w:sz="4"/>
              <w:left w:val="single" w:color="BFBFBF" w:sz="4"/>
              <w:bottom w:val="single" w:color="BFBFBF" w:sz="4"/>
              <w:right w:val="single" w:color="BFBFBF" w:sz="4"/>
            </w:tcBorders>
            <w:tcMar>
              <w:top w:type="dxa" w:w="200"/>
              <w:left w:type="dxa" w:w="120"/>
              <w:bottom w:type="dxa" w:w="200"/>
              <w:right w:type="dxa" w:w="120"/>
            </w:tcMar>
          </w:tcPr>
          <w:p>
            <w:r>
              <w:rPr>
                <w:sz w:val="20"/>
                <w:szCs w:val="20"/>
              </w:rPr>
              <w:t xml:space="preserve"/>
            </w:r>
          </w:p>
        </w:tc>
      </w:tr>
    </w:tbl>
    <w:p>
      <w:pPr>
        <w:spacing w:after="140"/>
      </w:pPr>
      <w:r>
        <w:rPr>
          <w:rFonts w:ascii="Arial" w:cs="Arial" w:eastAsia="Arial" w:hAnsi="Arial"/>
          <w:color w:val="666666"/>
          <w:sz w:val="21"/>
          <w:szCs w:val="21"/>
        </w:rPr>
        <w:t xml:space="preserve">Reference: ICC Incoterms 2020 (iccwbo.org/business-solutions/incoterms-rules/) defines EXW, FOB, CIF and DDP precisely — specify the exact named port or destination, since “FOB China” or an unspecified delivery point is not precise enough to compare bids or assign risk correctly.</w:t>
      </w:r>
    </w:p>
    <w:p>
      <w:pPr>
        <w:pStyle w:val="Heading1"/>
        <w:spacing w:after="160" w:before="320"/>
      </w:pPr>
      <w:r>
        <w:t xml:space="preserve">6. Evaluation criteria</w:t>
      </w:r>
    </w:p>
    <w:p>
      <w:pPr>
        <w:spacing w:after="140"/>
      </w:pPr>
      <w:r>
        <w:rPr>
          <w:rFonts w:ascii="Arial" w:cs="Arial" w:eastAsia="Arial" w:hAnsi="Arial"/>
          <w:sz w:val="21"/>
          <w:szCs w:val="21"/>
        </w:rPr>
        <w:t xml:space="preserve">Weight each dimension before responses arrive, not after — deciding weights in advance prevents the evaluation from quietly re-optimizing around whichever supplier already feels like the front-runner.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900"/>
        <w:gridCol w:w="1740"/>
        <w:gridCol w:w="3720"/>
      </w:tblGrid>
      <w:tr>
        <w:trPr>
          <w:cantSplit/>
        </w:trPr>
        <w:tc>
          <w:tcPr>
            <w:tcW w:type="dxa" w:w="3900"/>
            <w:tcBorders>
              <w:top w:val="single" w:color="BFBFBF" w:sz="4"/>
              <w:left w:val="single" w:color="BFBFBF" w:sz="4"/>
              <w:bottom w:val="single" w:color="BFBFBF" w:sz="4"/>
              <w:right w:val="single" w:color="BFBFBF" w:sz="4"/>
            </w:tcBorders>
            <w:shd w:fill="D9E2F3"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Criterion</w:t>
            </w:r>
          </w:p>
        </w:tc>
        <w:tc>
          <w:tcPr>
            <w:tcW w:type="dxa" w:w="1740"/>
            <w:tcBorders>
              <w:top w:val="single" w:color="BFBFBF" w:sz="4"/>
              <w:left w:val="single" w:color="BFBFBF" w:sz="4"/>
              <w:bottom w:val="single" w:color="BFBFBF" w:sz="4"/>
              <w:right w:val="single" w:color="BFBFBF" w:sz="4"/>
            </w:tcBorders>
            <w:shd w:fill="D9E2F3" w:val="clear"/>
            <w:tcMar>
              <w:top w:type="dxa" w:w="80"/>
              <w:left w:type="dxa" w:w="120"/>
              <w:bottom w:type="dxa" w:w="80"/>
              <w:right w:type="dxa" w:w="120"/>
            </w:tcMar>
            <w:vAlign w:val="center"/>
          </w:tcPr>
          <w:p>
            <w:pPr>
              <w:jc w:val="center"/>
            </w:pPr>
            <w:r>
              <w:rPr>
                <w:rFonts w:ascii="Arial" w:cs="Arial" w:eastAsia="Arial" w:hAnsi="Arial"/>
                <w:b/>
                <w:bCs/>
                <w:sz w:val="20"/>
                <w:szCs w:val="20"/>
              </w:rPr>
              <w:t xml:space="preserve">Weight</w:t>
            </w:r>
          </w:p>
        </w:tc>
        <w:tc>
          <w:tcPr>
            <w:tcW w:type="dxa" w:w="3720"/>
            <w:tcBorders>
              <w:top w:val="single" w:color="BFBFBF" w:sz="4"/>
              <w:left w:val="single" w:color="BFBFBF" w:sz="4"/>
              <w:bottom w:val="single" w:color="BFBFBF" w:sz="4"/>
              <w:right w:val="single" w:color="BFBFBF" w:sz="4"/>
            </w:tcBorders>
            <w:shd w:fill="D9E2F3"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Notes</w:t>
            </w:r>
          </w:p>
        </w:tc>
      </w:tr>
      <w:tr>
        <w:trPr>
          <w:cantSplit/>
        </w:trPr>
        <w:tc>
          <w:tcPr>
            <w:tcW w:type="dxa" w:w="3900"/>
            <w:tcBorders>
              <w:top w:val="single" w:color="BFBFBF" w:sz="4"/>
              <w:left w:val="single" w:color="BFBFBF" w:sz="4"/>
              <w:bottom w:val="single" w:color="BFBFBF" w:sz="4"/>
              <w:right w:val="single" w:color="BFBFBF" w:sz="4"/>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Price at your actual volume tier</w:t>
            </w:r>
          </w:p>
        </w:tc>
        <w:tc>
          <w:tcPr>
            <w:tcW w:type="dxa" w:w="1740"/>
            <w:tcBorders>
              <w:top w:val="single" w:color="BFBFBF" w:sz="4"/>
              <w:left w:val="single" w:color="BFBFBF" w:sz="4"/>
              <w:bottom w:val="single" w:color="BFBFBF" w:sz="4"/>
              <w:right w:val="single" w:color="BFBFBF" w:sz="4"/>
            </w:tcBorders>
            <w:tcMar>
              <w:top w:type="dxa" w:w="200"/>
              <w:left w:type="dxa" w:w="120"/>
              <w:bottom w:type="dxa" w:w="200"/>
              <w:right w:type="dxa" w:w="120"/>
            </w:tcMar>
          </w:tcPr>
          <w:p>
            <w:r>
              <w:rPr>
                <w:sz w:val="20"/>
                <w:szCs w:val="20"/>
              </w:rPr>
              <w:t xml:space="preserve"/>
            </w:r>
          </w:p>
        </w:tc>
        <w:tc>
          <w:tcPr>
            <w:tcW w:type="dxa" w:w="3720"/>
            <w:tcBorders>
              <w:top w:val="single" w:color="BFBFBF" w:sz="4"/>
              <w:left w:val="single" w:color="BFBFBF" w:sz="4"/>
              <w:bottom w:val="single" w:color="BFBFBF" w:sz="4"/>
              <w:right w:val="single" w:color="BFBFBF" w:sz="4"/>
            </w:tcBorders>
            <w:tcMar>
              <w:top w:type="dxa" w:w="200"/>
              <w:left w:type="dxa" w:w="120"/>
              <w:bottom w:type="dxa" w:w="200"/>
              <w:right w:type="dxa" w:w="120"/>
            </w:tcMar>
          </w:tcPr>
          <w:p>
            <w:r>
              <w:rPr>
                <w:sz w:val="20"/>
                <w:szCs w:val="20"/>
              </w:rPr>
              <w:t xml:space="preserve"/>
            </w:r>
          </w:p>
        </w:tc>
      </w:tr>
      <w:tr>
        <w:trPr>
          <w:cantSplit/>
        </w:trPr>
        <w:tc>
          <w:tcPr>
            <w:tcW w:type="dxa" w:w="3900"/>
            <w:tcBorders>
              <w:top w:val="single" w:color="BFBFBF" w:sz="4"/>
              <w:left w:val="single" w:color="BFBFBF" w:sz="4"/>
              <w:bottom w:val="single" w:color="BFBFBF" w:sz="4"/>
              <w:right w:val="single" w:color="BFBFBF" w:sz="4"/>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Total landed cost (incl. freight, duties)</w:t>
            </w:r>
          </w:p>
        </w:tc>
        <w:tc>
          <w:tcPr>
            <w:tcW w:type="dxa" w:w="1740"/>
            <w:tcBorders>
              <w:top w:val="single" w:color="BFBFBF" w:sz="4"/>
              <w:left w:val="single" w:color="BFBFBF" w:sz="4"/>
              <w:bottom w:val="single" w:color="BFBFBF" w:sz="4"/>
              <w:right w:val="single" w:color="BFBFBF" w:sz="4"/>
            </w:tcBorders>
            <w:tcMar>
              <w:top w:type="dxa" w:w="200"/>
              <w:left w:type="dxa" w:w="120"/>
              <w:bottom w:type="dxa" w:w="200"/>
              <w:right w:type="dxa" w:w="120"/>
            </w:tcMar>
          </w:tcPr>
          <w:p>
            <w:r>
              <w:rPr>
                <w:sz w:val="20"/>
                <w:szCs w:val="20"/>
              </w:rPr>
              <w:t xml:space="preserve"/>
            </w:r>
          </w:p>
        </w:tc>
        <w:tc>
          <w:tcPr>
            <w:tcW w:type="dxa" w:w="3720"/>
            <w:tcBorders>
              <w:top w:val="single" w:color="BFBFBF" w:sz="4"/>
              <w:left w:val="single" w:color="BFBFBF" w:sz="4"/>
              <w:bottom w:val="single" w:color="BFBFBF" w:sz="4"/>
              <w:right w:val="single" w:color="BFBFBF" w:sz="4"/>
            </w:tcBorders>
            <w:tcMar>
              <w:top w:type="dxa" w:w="200"/>
              <w:left w:type="dxa" w:w="120"/>
              <w:bottom w:type="dxa" w:w="200"/>
              <w:right w:type="dxa" w:w="120"/>
            </w:tcMar>
          </w:tcPr>
          <w:p>
            <w:r>
              <w:rPr>
                <w:sz w:val="20"/>
                <w:szCs w:val="20"/>
              </w:rPr>
              <w:t xml:space="preserve"/>
            </w:r>
          </w:p>
        </w:tc>
      </w:tr>
      <w:tr>
        <w:trPr>
          <w:cantSplit/>
        </w:trPr>
        <w:tc>
          <w:tcPr>
            <w:tcW w:type="dxa" w:w="3900"/>
            <w:tcBorders>
              <w:top w:val="single" w:color="BFBFBF" w:sz="4"/>
              <w:left w:val="single" w:color="BFBFBF" w:sz="4"/>
              <w:bottom w:val="single" w:color="BFBFBF" w:sz="4"/>
              <w:right w:val="single" w:color="BFBFBF" w:sz="4"/>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Capacity-to-need ratio</w:t>
            </w:r>
          </w:p>
        </w:tc>
        <w:tc>
          <w:tcPr>
            <w:tcW w:type="dxa" w:w="1740"/>
            <w:tcBorders>
              <w:top w:val="single" w:color="BFBFBF" w:sz="4"/>
              <w:left w:val="single" w:color="BFBFBF" w:sz="4"/>
              <w:bottom w:val="single" w:color="BFBFBF" w:sz="4"/>
              <w:right w:val="single" w:color="BFBFBF" w:sz="4"/>
            </w:tcBorders>
            <w:tcMar>
              <w:top w:type="dxa" w:w="200"/>
              <w:left w:type="dxa" w:w="120"/>
              <w:bottom w:type="dxa" w:w="200"/>
              <w:right w:type="dxa" w:w="120"/>
            </w:tcMar>
          </w:tcPr>
          <w:p>
            <w:r>
              <w:rPr>
                <w:sz w:val="20"/>
                <w:szCs w:val="20"/>
              </w:rPr>
              <w:t xml:space="preserve"/>
            </w:r>
          </w:p>
        </w:tc>
        <w:tc>
          <w:tcPr>
            <w:tcW w:type="dxa" w:w="3720"/>
            <w:tcBorders>
              <w:top w:val="single" w:color="BFBFBF" w:sz="4"/>
              <w:left w:val="single" w:color="BFBFBF" w:sz="4"/>
              <w:bottom w:val="single" w:color="BFBFBF" w:sz="4"/>
              <w:right w:val="single" w:color="BFBFBF" w:sz="4"/>
            </w:tcBorders>
            <w:tcMar>
              <w:top w:type="dxa" w:w="200"/>
              <w:left w:type="dxa" w:w="120"/>
              <w:bottom w:type="dxa" w:w="200"/>
              <w:right w:type="dxa" w:w="120"/>
            </w:tcMar>
          </w:tcPr>
          <w:p>
            <w:r>
              <w:rPr>
                <w:sz w:val="20"/>
                <w:szCs w:val="20"/>
              </w:rPr>
              <w:t xml:space="preserve"/>
            </w:r>
          </w:p>
        </w:tc>
      </w:tr>
      <w:tr>
        <w:trPr>
          <w:cantSplit/>
        </w:trPr>
        <w:tc>
          <w:tcPr>
            <w:tcW w:type="dxa" w:w="3900"/>
            <w:tcBorders>
              <w:top w:val="single" w:color="BFBFBF" w:sz="4"/>
              <w:left w:val="single" w:color="BFBFBF" w:sz="4"/>
              <w:bottom w:val="single" w:color="BFBFBF" w:sz="4"/>
              <w:right w:val="single" w:color="BFBFBF" w:sz="4"/>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Certification completeness + verification</w:t>
            </w:r>
          </w:p>
        </w:tc>
        <w:tc>
          <w:tcPr>
            <w:tcW w:type="dxa" w:w="1740"/>
            <w:tcBorders>
              <w:top w:val="single" w:color="BFBFBF" w:sz="4"/>
              <w:left w:val="single" w:color="BFBFBF" w:sz="4"/>
              <w:bottom w:val="single" w:color="BFBFBF" w:sz="4"/>
              <w:right w:val="single" w:color="BFBFBF" w:sz="4"/>
            </w:tcBorders>
            <w:tcMar>
              <w:top w:type="dxa" w:w="200"/>
              <w:left w:type="dxa" w:w="120"/>
              <w:bottom w:type="dxa" w:w="200"/>
              <w:right w:type="dxa" w:w="120"/>
            </w:tcMar>
          </w:tcPr>
          <w:p>
            <w:r>
              <w:rPr>
                <w:sz w:val="20"/>
                <w:szCs w:val="20"/>
              </w:rPr>
              <w:t xml:space="preserve"/>
            </w:r>
          </w:p>
        </w:tc>
        <w:tc>
          <w:tcPr>
            <w:tcW w:type="dxa" w:w="3720"/>
            <w:tcBorders>
              <w:top w:val="single" w:color="BFBFBF" w:sz="4"/>
              <w:left w:val="single" w:color="BFBFBF" w:sz="4"/>
              <w:bottom w:val="single" w:color="BFBFBF" w:sz="4"/>
              <w:right w:val="single" w:color="BFBFBF" w:sz="4"/>
            </w:tcBorders>
            <w:tcMar>
              <w:top w:type="dxa" w:w="200"/>
              <w:left w:type="dxa" w:w="120"/>
              <w:bottom w:type="dxa" w:w="200"/>
              <w:right w:type="dxa" w:w="120"/>
            </w:tcMar>
          </w:tcPr>
          <w:p>
            <w:r>
              <w:rPr>
                <w:sz w:val="20"/>
                <w:szCs w:val="20"/>
              </w:rPr>
              <w:t xml:space="preserve"/>
            </w:r>
          </w:p>
        </w:tc>
      </w:tr>
      <w:tr>
        <w:trPr>
          <w:cantSplit/>
        </w:trPr>
        <w:tc>
          <w:tcPr>
            <w:tcW w:type="dxa" w:w="3900"/>
            <w:tcBorders>
              <w:top w:val="single" w:color="BFBFBF" w:sz="4"/>
              <w:left w:val="single" w:color="BFBFBF" w:sz="4"/>
              <w:bottom w:val="single" w:color="BFBFBF" w:sz="4"/>
              <w:right w:val="single" w:color="BFBFBF" w:sz="4"/>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Reference quality (phone-screened)</w:t>
            </w:r>
          </w:p>
        </w:tc>
        <w:tc>
          <w:tcPr>
            <w:tcW w:type="dxa" w:w="1740"/>
            <w:tcBorders>
              <w:top w:val="single" w:color="BFBFBF" w:sz="4"/>
              <w:left w:val="single" w:color="BFBFBF" w:sz="4"/>
              <w:bottom w:val="single" w:color="BFBFBF" w:sz="4"/>
              <w:right w:val="single" w:color="BFBFBF" w:sz="4"/>
            </w:tcBorders>
            <w:tcMar>
              <w:top w:type="dxa" w:w="200"/>
              <w:left w:type="dxa" w:w="120"/>
              <w:bottom w:type="dxa" w:w="200"/>
              <w:right w:type="dxa" w:w="120"/>
            </w:tcMar>
          </w:tcPr>
          <w:p>
            <w:r>
              <w:rPr>
                <w:sz w:val="20"/>
                <w:szCs w:val="20"/>
              </w:rPr>
              <w:t xml:space="preserve"/>
            </w:r>
          </w:p>
        </w:tc>
        <w:tc>
          <w:tcPr>
            <w:tcW w:type="dxa" w:w="3720"/>
            <w:tcBorders>
              <w:top w:val="single" w:color="BFBFBF" w:sz="4"/>
              <w:left w:val="single" w:color="BFBFBF" w:sz="4"/>
              <w:bottom w:val="single" w:color="BFBFBF" w:sz="4"/>
              <w:right w:val="single" w:color="BFBFBF" w:sz="4"/>
            </w:tcBorders>
            <w:tcMar>
              <w:top w:type="dxa" w:w="200"/>
              <w:left w:type="dxa" w:w="120"/>
              <w:bottom w:type="dxa" w:w="200"/>
              <w:right w:type="dxa" w:w="120"/>
            </w:tcMar>
          </w:tcPr>
          <w:p>
            <w:r>
              <w:rPr>
                <w:sz w:val="20"/>
                <w:szCs w:val="20"/>
              </w:rPr>
              <w:t xml:space="preserve"/>
            </w:r>
          </w:p>
        </w:tc>
      </w:tr>
      <w:tr>
        <w:trPr>
          <w:cantSplit/>
        </w:trPr>
        <w:tc>
          <w:tcPr>
            <w:tcW w:type="dxa" w:w="3900"/>
            <w:tcBorders>
              <w:top w:val="single" w:color="BFBFBF" w:sz="4"/>
              <w:left w:val="single" w:color="BFBFBF" w:sz="4"/>
              <w:bottom w:val="single" w:color="BFBFBF" w:sz="4"/>
              <w:right w:val="single" w:color="BFBFBF" w:sz="4"/>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Lead time</w:t>
            </w:r>
          </w:p>
        </w:tc>
        <w:tc>
          <w:tcPr>
            <w:tcW w:type="dxa" w:w="1740"/>
            <w:tcBorders>
              <w:top w:val="single" w:color="BFBFBF" w:sz="4"/>
              <w:left w:val="single" w:color="BFBFBF" w:sz="4"/>
              <w:bottom w:val="single" w:color="BFBFBF" w:sz="4"/>
              <w:right w:val="single" w:color="BFBFBF" w:sz="4"/>
            </w:tcBorders>
            <w:tcMar>
              <w:top w:type="dxa" w:w="200"/>
              <w:left w:type="dxa" w:w="120"/>
              <w:bottom w:type="dxa" w:w="200"/>
              <w:right w:type="dxa" w:w="120"/>
            </w:tcMar>
          </w:tcPr>
          <w:p>
            <w:r>
              <w:rPr>
                <w:sz w:val="20"/>
                <w:szCs w:val="20"/>
              </w:rPr>
              <w:t xml:space="preserve"/>
            </w:r>
          </w:p>
        </w:tc>
        <w:tc>
          <w:tcPr>
            <w:tcW w:type="dxa" w:w="3720"/>
            <w:tcBorders>
              <w:top w:val="single" w:color="BFBFBF" w:sz="4"/>
              <w:left w:val="single" w:color="BFBFBF" w:sz="4"/>
              <w:bottom w:val="single" w:color="BFBFBF" w:sz="4"/>
              <w:right w:val="single" w:color="BFBFBF" w:sz="4"/>
            </w:tcBorders>
            <w:tcMar>
              <w:top w:type="dxa" w:w="200"/>
              <w:left w:type="dxa" w:w="120"/>
              <w:bottom w:type="dxa" w:w="200"/>
              <w:right w:type="dxa" w:w="120"/>
            </w:tcMar>
          </w:tcPr>
          <w:p>
            <w:r>
              <w:rPr>
                <w:sz w:val="20"/>
                <w:szCs w:val="20"/>
              </w:rPr>
              <w:t xml:space="preserve"/>
            </w:r>
          </w:p>
        </w:tc>
      </w:tr>
      <w:tr>
        <w:trPr>
          <w:cantSplit/>
        </w:trPr>
        <w:tc>
          <w:tcPr>
            <w:tcW w:type="dxa" w:w="3900"/>
            <w:tcBorders>
              <w:top w:val="single" w:color="BFBFBF" w:sz="4"/>
              <w:left w:val="single" w:color="BFBFBF" w:sz="4"/>
              <w:bottom w:val="single" w:color="BFBFBF" w:sz="4"/>
              <w:right w:val="single" w:color="BFBFBF" w:sz="4"/>
            </w:tcBorders>
            <w:tcMar>
              <w:top w:type="dxa" w:w="80"/>
              <w:left w:type="dxa" w:w="120"/>
              <w:bottom w:type="dxa" w:w="80"/>
              <w:right w:type="dxa" w:w="120"/>
            </w:tcMar>
            <w:vAlign w:val="center"/>
          </w:tcPr>
          <w:p>
            <w:pPr>
              <w:jc w:val="left"/>
            </w:pPr>
            <w:r>
              <w:rPr>
                <w:rFonts w:ascii="Arial" w:cs="Arial" w:eastAsia="Arial" w:hAnsi="Arial"/>
                <w:b/>
                <w:bCs/>
                <w:sz w:val="20"/>
                <w:szCs w:val="20"/>
              </w:rPr>
              <w:t xml:space="preserve">Total (should sum to 100%)</w:t>
            </w:r>
          </w:p>
        </w:tc>
        <w:tc>
          <w:tcPr>
            <w:tcW w:type="dxa" w:w="1740"/>
            <w:tcBorders>
              <w:top w:val="single" w:color="BFBFBF" w:sz="4"/>
              <w:left w:val="single" w:color="BFBFBF" w:sz="4"/>
              <w:bottom w:val="single" w:color="BFBFBF" w:sz="4"/>
              <w:right w:val="single" w:color="BFBFBF" w:sz="4"/>
            </w:tcBorders>
            <w:tcMar>
              <w:top w:type="dxa" w:w="200"/>
              <w:left w:type="dxa" w:w="120"/>
              <w:bottom w:type="dxa" w:w="200"/>
              <w:right w:type="dxa" w:w="120"/>
            </w:tcMar>
          </w:tcPr>
          <w:p>
            <w:r>
              <w:rPr>
                <w:sz w:val="20"/>
                <w:szCs w:val="20"/>
              </w:rPr>
              <w:t xml:space="preserve"/>
            </w:r>
          </w:p>
        </w:tc>
        <w:tc>
          <w:tcPr>
            <w:tcW w:type="dxa" w:w="3720"/>
            <w:tcBorders>
              <w:top w:val="single" w:color="BFBFBF" w:sz="4"/>
              <w:left w:val="single" w:color="BFBFBF" w:sz="4"/>
              <w:bottom w:val="single" w:color="BFBFBF" w:sz="4"/>
              <w:right w:val="single" w:color="BFBFBF" w:sz="4"/>
            </w:tcBorders>
            <w:tcMar>
              <w:top w:type="dxa" w:w="200"/>
              <w:left w:type="dxa" w:w="120"/>
              <w:bottom w:type="dxa" w:w="200"/>
              <w:right w:type="dxa" w:w="120"/>
            </w:tcMar>
          </w:tcPr>
          <w:p>
            <w:r>
              <w:rPr>
                <w:sz w:val="20"/>
                <w:szCs w:val="20"/>
              </w:rPr>
              <w:t xml:space="preserve"/>
            </w:r>
          </w:p>
        </w:tc>
      </w:tr>
    </w:tbl>
    <w:p>
      <w:pPr>
        <w:spacing w:after="140"/>
      </w:pPr>
      <w:r>
        <w:rPr>
          <w:rFonts w:ascii="Arial" w:cs="Arial" w:eastAsia="Arial" w:hAnsi="Arial"/>
          <w:color w:val="666666"/>
          <w:sz w:val="21"/>
          <w:szCs w:val="21"/>
        </w:rPr>
        <w:t xml:space="preserve">The cheapest bid is rarely the best — a 5% price advantage is typically wiped out by one quality-control failure or one missed shipment. Total landed cost, not quoted unit price, is what should be compared across suppliers quoting different Incoterms.</w:t>
      </w:r>
    </w:p>
    <w:p>
      <w:pPr>
        <w:pStyle w:val="Heading1"/>
        <w:spacing w:after="160" w:before="320"/>
      </w:pPr>
      <w:r>
        <w:t xml:space="preserve">7. Submission instructions</w:t>
      </w:r>
    </w:p>
    <w:p>
      <w:pPr>
        <w:pStyle w:val="ListParagraph"/>
        <w:numPr>
          <w:ilvl w:val="0"/>
          <w:numId w:val="2"/>
        </w:numPr>
        <w:spacing w:after="80"/>
      </w:pPr>
      <w:r>
        <w:rPr>
          <w:rFonts w:ascii="Arial" w:cs="Arial" w:eastAsia="Arial" w:hAnsi="Arial"/>
          <w:sz w:val="21"/>
          <w:szCs w:val="21"/>
        </w:rPr>
        <w:t xml:space="preserve">Response format: [specify — e.g. completed template + attachments, or supplier’s own format covering all sections above]</w:t>
      </w:r>
    </w:p>
    <w:p>
      <w:pPr>
        <w:pStyle w:val="ListParagraph"/>
        <w:numPr>
          <w:ilvl w:val="0"/>
          <w:numId w:val="2"/>
        </w:numPr>
        <w:spacing w:after="80"/>
      </w:pPr>
      <w:r>
        <w:rPr>
          <w:rFonts w:ascii="Arial" w:cs="Arial" w:eastAsia="Arial" w:hAnsi="Arial"/>
          <w:sz w:val="21"/>
          <w:szCs w:val="21"/>
        </w:rPr>
        <w:t xml:space="preserve">Response due date: [date] — 10–15 business days is standard for a complete RFP; allow 3–4 weeks if a sample run is required before quoting.</w:t>
      </w:r>
    </w:p>
    <w:p>
      <w:pPr>
        <w:pStyle w:val="ListParagraph"/>
        <w:numPr>
          <w:ilvl w:val="0"/>
          <w:numId w:val="2"/>
        </w:numPr>
        <w:spacing w:after="80"/>
      </w:pPr>
      <w:r>
        <w:rPr>
          <w:rFonts w:ascii="Arial" w:cs="Arial" w:eastAsia="Arial" w:hAnsi="Arial"/>
          <w:sz w:val="21"/>
          <w:szCs w:val="21"/>
        </w:rPr>
        <w:t xml:space="preserve">Submit to: [name, email]</w:t>
      </w:r>
    </w:p>
    <w:p>
      <w:pPr>
        <w:pStyle w:val="ListParagraph"/>
        <w:numPr>
          <w:ilvl w:val="0"/>
          <w:numId w:val="2"/>
        </w:numPr>
        <w:spacing w:after="80"/>
      </w:pPr>
      <w:r>
        <w:rPr>
          <w:rFonts w:ascii="Arial" w:cs="Arial" w:eastAsia="Arial" w:hAnsi="Arial"/>
          <w:sz w:val="21"/>
          <w:szCs w:val="21"/>
        </w:rPr>
        <w:t xml:space="preserve">Questions during the RFP period: [name, email, deadline for questions]</w:t>
      </w:r>
    </w:p>
    <w:p>
      <w:pPr>
        <w:spacing w:after="140"/>
      </w:pPr>
      <w:r>
        <w:rPr>
          <w:rFonts w:ascii="Arial" w:cs="Arial" w:eastAsia="Arial" w:hAnsi="Arial"/>
          <w:sz w:val="21"/>
          <w:szCs w:val="21"/>
        </w:rPr>
        <w:t xml:space="preserve">Ready to submit this RFP to Proud Tek directly? Email info@proudtek.com or open the 5-step RFQ wizard at proudtek.com/rfq/ — a specialist replies within one business day with unit pricing, MOQ ladder, lead time and the matching sample-pack subset.</w:t>
      </w:r>
    </w:p>
    <w:p>
      <w:r>
        <w:br w:type="page"/>
      </w:r>
    </w:p>
    <w:p>
      <w:pPr>
        <w:pStyle w:val="Heading1"/>
        <w:spacing w:after="160" w:before="320"/>
      </w:pPr>
      <w:r>
        <w:t xml:space="preserve">Appendix: Incoterms 2020 quick reference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7800"/>
      </w:tblGrid>
      <w:tr>
        <w:trPr>
          <w:cantSplit/>
        </w:trPr>
        <w:tc>
          <w:tcPr>
            <w:tcW w:type="dxa" w:w="1560"/>
            <w:tcBorders>
              <w:top w:val="single" w:color="BFBFBF" w:sz="4"/>
              <w:left w:val="single" w:color="BFBFBF" w:sz="4"/>
              <w:bottom w:val="single" w:color="BFBFBF" w:sz="4"/>
              <w:right w:val="single" w:color="BFBFBF" w:sz="4"/>
            </w:tcBorders>
            <w:shd w:fill="D9E2F3"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Term</w:t>
            </w:r>
          </w:p>
        </w:tc>
        <w:tc>
          <w:tcPr>
            <w:tcW w:type="dxa" w:w="7800"/>
            <w:tcBorders>
              <w:top w:val="single" w:color="BFBFBF" w:sz="4"/>
              <w:left w:val="single" w:color="BFBFBF" w:sz="4"/>
              <w:bottom w:val="single" w:color="BFBFBF" w:sz="4"/>
              <w:right w:val="single" w:color="BFBFBF" w:sz="4"/>
            </w:tcBorders>
            <w:shd w:fill="D9E2F3" w:val="clear"/>
            <w:tcMar>
              <w:top w:type="dxa" w:w="80"/>
              <w:left w:type="dxa" w:w="120"/>
              <w:bottom w:type="dxa" w:w="80"/>
              <w:right w:type="dxa" w:w="120"/>
            </w:tcMar>
            <w:vAlign w:val="center"/>
          </w:tcPr>
          <w:p>
            <w:pPr>
              <w:jc w:val="left"/>
            </w:pPr>
            <w:r>
              <w:rPr>
                <w:rFonts w:ascii="Arial" w:cs="Arial" w:eastAsia="Arial" w:hAnsi="Arial"/>
                <w:b/>
                <w:bCs/>
                <w:sz w:val="20"/>
                <w:szCs w:val="20"/>
              </w:rPr>
              <w:t xml:space="preserve">Who bears cost &amp; risk from…</w:t>
            </w:r>
          </w:p>
        </w:tc>
      </w:tr>
      <w:tr>
        <w:trPr>
          <w:cantSplit/>
        </w:trPr>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vAlign w:val="center"/>
          </w:tcPr>
          <w:p>
            <w:pPr>
              <w:jc w:val="left"/>
            </w:pPr>
            <w:r>
              <w:rPr>
                <w:rFonts w:ascii="Arial" w:cs="Arial" w:eastAsia="Arial" w:hAnsi="Arial"/>
                <w:b/>
                <w:bCs/>
                <w:sz w:val="20"/>
                <w:szCs w:val="20"/>
              </w:rPr>
              <w:t xml:space="preserve">EXW</w:t>
            </w:r>
          </w:p>
        </w:tc>
        <w:tc>
          <w:tcPr>
            <w:tcW w:type="dxa" w:w="7800"/>
            <w:tcBorders>
              <w:top w:val="single" w:color="BFBFBF" w:sz="4"/>
              <w:left w:val="single" w:color="BFBFBF" w:sz="4"/>
              <w:bottom w:val="single" w:color="BFBFBF" w:sz="4"/>
              <w:right w:val="single" w:color="BFBFBF" w:sz="4"/>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Factory door. Buyer arranges and pays all China-side trucking, export clearance, international freight, destination customs and last-mile. Cheapest quote, most buyer responsibility.</w:t>
            </w:r>
          </w:p>
        </w:tc>
      </w:tr>
      <w:tr>
        <w:trPr>
          <w:cantSplit/>
        </w:trPr>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vAlign w:val="center"/>
          </w:tcPr>
          <w:p>
            <w:pPr>
              <w:jc w:val="left"/>
            </w:pPr>
            <w:r>
              <w:rPr>
                <w:rFonts w:ascii="Arial" w:cs="Arial" w:eastAsia="Arial" w:hAnsi="Arial"/>
                <w:b/>
                <w:bCs/>
                <w:sz w:val="20"/>
                <w:szCs w:val="20"/>
              </w:rPr>
              <w:t xml:space="preserve">FOB</w:t>
            </w:r>
          </w:p>
        </w:tc>
        <w:tc>
          <w:tcPr>
            <w:tcW w:type="dxa" w:w="7800"/>
            <w:tcBorders>
              <w:top w:val="single" w:color="BFBFBF" w:sz="4"/>
              <w:left w:val="single" w:color="BFBFBF" w:sz="4"/>
              <w:bottom w:val="single" w:color="BFBFBF" w:sz="4"/>
              <w:right w:val="single" w:color="BFBFBF" w:sz="4"/>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Loaded on ship at the named Chinese port. Supplier handles China-side complexity; buyer takes ocean freight, insurance and destination handling. Most common term for international RFID sourcing — always name the exact port.</w:t>
            </w:r>
          </w:p>
        </w:tc>
      </w:tr>
      <w:tr>
        <w:trPr>
          <w:cantSplit/>
        </w:trPr>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vAlign w:val="center"/>
          </w:tcPr>
          <w:p>
            <w:pPr>
              <w:jc w:val="left"/>
            </w:pPr>
            <w:r>
              <w:rPr>
                <w:rFonts w:ascii="Arial" w:cs="Arial" w:eastAsia="Arial" w:hAnsi="Arial"/>
                <w:b/>
                <w:bCs/>
                <w:sz w:val="20"/>
                <w:szCs w:val="20"/>
              </w:rPr>
              <w:t xml:space="preserve">CIF</w:t>
            </w:r>
          </w:p>
        </w:tc>
        <w:tc>
          <w:tcPr>
            <w:tcW w:type="dxa" w:w="7800"/>
            <w:tcBorders>
              <w:top w:val="single" w:color="BFBFBF" w:sz="4"/>
              <w:left w:val="single" w:color="BFBFBF" w:sz="4"/>
              <w:bottom w:val="single" w:color="BFBFBF" w:sz="4"/>
              <w:right w:val="single" w:color="BFBFBF" w:sz="4"/>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Supplier pays freight and insurance to the buyer’s named port of arrival. Default minimum insurance (ICC-C) excludes water damage — upgrade to ICC-A (all risks) for high-value cards.</w:t>
            </w:r>
          </w:p>
        </w:tc>
      </w:tr>
      <w:tr>
        <w:trPr>
          <w:cantSplit/>
        </w:trPr>
        <w:tc>
          <w:tcPr>
            <w:tcW w:type="dxa" w:w="1560"/>
            <w:tcBorders>
              <w:top w:val="single" w:color="BFBFBF" w:sz="4"/>
              <w:left w:val="single" w:color="BFBFBF" w:sz="4"/>
              <w:bottom w:val="single" w:color="BFBFBF" w:sz="4"/>
              <w:right w:val="single" w:color="BFBFBF" w:sz="4"/>
            </w:tcBorders>
            <w:tcMar>
              <w:top w:type="dxa" w:w="80"/>
              <w:left w:type="dxa" w:w="120"/>
              <w:bottom w:type="dxa" w:w="80"/>
              <w:right w:type="dxa" w:w="120"/>
            </w:tcMar>
            <w:vAlign w:val="center"/>
          </w:tcPr>
          <w:p>
            <w:pPr>
              <w:jc w:val="left"/>
            </w:pPr>
            <w:r>
              <w:rPr>
                <w:rFonts w:ascii="Arial" w:cs="Arial" w:eastAsia="Arial" w:hAnsi="Arial"/>
                <w:b/>
                <w:bCs/>
                <w:sz w:val="20"/>
                <w:szCs w:val="20"/>
              </w:rPr>
              <w:t xml:space="preserve">DDP</w:t>
            </w:r>
          </w:p>
        </w:tc>
        <w:tc>
          <w:tcPr>
            <w:tcW w:type="dxa" w:w="7800"/>
            <w:tcBorders>
              <w:top w:val="single" w:color="BFBFBF" w:sz="4"/>
              <w:left w:val="single" w:color="BFBFBF" w:sz="4"/>
              <w:bottom w:val="single" w:color="BFBFBF" w:sz="4"/>
              <w:right w:val="single" w:color="BFBFBF" w:sz="4"/>
            </w:tcBorders>
            <w:tcMar>
              <w:top w:type="dxa" w:w="80"/>
              <w:left w:type="dxa" w:w="120"/>
              <w:bottom w:type="dxa" w:w="80"/>
              <w:right w:type="dxa" w:w="120"/>
            </w:tcMar>
            <w:vAlign w:val="center"/>
          </w:tcPr>
          <w:p>
            <w:pPr>
              <w:jc w:val="left"/>
            </w:pPr>
            <w:r>
              <w:rPr>
                <w:rFonts w:ascii="Arial" w:cs="Arial" w:eastAsia="Arial" w:hAnsi="Arial"/>
                <w:b w:val="false"/>
                <w:bCs w:val="false"/>
                <w:sz w:val="20"/>
                <w:szCs w:val="20"/>
              </w:rPr>
              <w:t xml:space="preserve">Supplier delivers to buyer’s warehouse, duties and taxes paid. Highest quote, single line-item simplicity. Confirm how tariff changes (e.g. Section 301) are handled if rates shift after the quote.</w:t>
            </w:r>
          </w:p>
        </w:tc>
      </w:tr>
    </w:tbl>
    <w:p>
      <w:pPr>
        <w:spacing w:after="140"/>
      </w:pPr>
      <w:r>
        <w:rPr>
          <w:rFonts w:ascii="Arial" w:cs="Arial" w:eastAsia="Arial" w:hAnsi="Arial"/>
          <w:color w:val="666666"/>
          <w:sz w:val="21"/>
          <w:szCs w:val="21"/>
        </w:rPr>
        <w:t xml:space="preserve">Official reference: International Chamber of Commerce, Incoterms 2020 (iccwbo.org/business-solutions/incoterms-rules/).</w:t>
      </w:r>
    </w:p>
    <w:p>
      <w:pPr>
        <w:pStyle w:val="Heading2"/>
        <w:spacing w:after="120" w:before="240"/>
      </w:pPr>
      <w:r>
        <w:t xml:space="preserve">Required shipping documents to request</w:t>
      </w:r>
    </w:p>
    <w:p>
      <w:pPr>
        <w:pStyle w:val="ListParagraph"/>
        <w:numPr>
          <w:ilvl w:val="0"/>
          <w:numId w:val="2"/>
        </w:numPr>
        <w:spacing w:after="80"/>
      </w:pPr>
      <w:r>
        <w:rPr>
          <w:rFonts w:ascii="Arial" w:cs="Arial" w:eastAsia="Arial" w:hAnsi="Arial"/>
          <w:sz w:val="21"/>
          <w:szCs w:val="21"/>
        </w:rPr>
        <w:t xml:space="preserve">Commercial Invoice (with chip-level HS classification)</w:t>
      </w:r>
    </w:p>
    <w:p>
      <w:pPr>
        <w:pStyle w:val="ListParagraph"/>
        <w:numPr>
          <w:ilvl w:val="0"/>
          <w:numId w:val="2"/>
        </w:numPr>
        <w:spacing w:after="80"/>
      </w:pPr>
      <w:r>
        <w:rPr>
          <w:rFonts w:ascii="Arial" w:cs="Arial" w:eastAsia="Arial" w:hAnsi="Arial"/>
          <w:sz w:val="21"/>
          <w:szCs w:val="21"/>
        </w:rPr>
        <w:t xml:space="preserve">Packing List (per master carton)</w:t>
      </w:r>
    </w:p>
    <w:p>
      <w:pPr>
        <w:pStyle w:val="ListParagraph"/>
        <w:numPr>
          <w:ilvl w:val="0"/>
          <w:numId w:val="2"/>
        </w:numPr>
        <w:spacing w:after="80"/>
      </w:pPr>
      <w:r>
        <w:rPr>
          <w:rFonts w:ascii="Arial" w:cs="Arial" w:eastAsia="Arial" w:hAnsi="Arial"/>
          <w:sz w:val="21"/>
          <w:szCs w:val="21"/>
        </w:rPr>
        <w:t xml:space="preserve">Bill of Lading — Master and House, for ocean shipments</w:t>
      </w:r>
    </w:p>
    <w:p>
      <w:pPr>
        <w:pStyle w:val="ListParagraph"/>
        <w:numPr>
          <w:ilvl w:val="0"/>
          <w:numId w:val="2"/>
        </w:numPr>
        <w:spacing w:after="80"/>
      </w:pPr>
      <w:r>
        <w:rPr>
          <w:rFonts w:ascii="Arial" w:cs="Arial" w:eastAsia="Arial" w:hAnsi="Arial"/>
          <w:sz w:val="21"/>
          <w:szCs w:val="21"/>
        </w:rPr>
        <w:t xml:space="preserve">Certificate of Origin (Form A or RCEP, where tariff-preference eligible)</w:t>
      </w:r>
    </w:p>
    <w:p>
      <w:pPr>
        <w:pStyle w:val="ListParagraph"/>
        <w:numPr>
          <w:ilvl w:val="0"/>
          <w:numId w:val="2"/>
        </w:numPr>
        <w:spacing w:after="80"/>
      </w:pPr>
      <w:r>
        <w:rPr>
          <w:rFonts w:ascii="Arial" w:cs="Arial" w:eastAsia="Arial" w:hAnsi="Arial"/>
          <w:sz w:val="21"/>
          <w:szCs w:val="21"/>
        </w:rPr>
        <w:t xml:space="preserve">Fumigation Certificate / ISPM 15 stamp, for wood pallets</w:t>
      </w:r>
    </w:p>
    <w:p>
      <w:pPr>
        <w:pStyle w:val="ListParagraph"/>
        <w:numPr>
          <w:ilvl w:val="0"/>
          <w:numId w:val="2"/>
        </w:numPr>
        <w:spacing w:after="80"/>
      </w:pPr>
      <w:r>
        <w:rPr>
          <w:rFonts w:ascii="Arial" w:cs="Arial" w:eastAsia="Arial" w:hAnsi="Arial"/>
          <w:sz w:val="21"/>
          <w:szCs w:val="21"/>
        </w:rPr>
        <w:t xml:space="preserve">EU REACH SVHC declaration, if shipping to the EU</w:t>
      </w:r>
    </w:p>
    <w:p>
      <w:pPr>
        <w:spacing w:after="140"/>
      </w:pPr>
      <w:r>
        <w:rPr>
          <w:rFonts w:ascii="Arial" w:cs="Arial" w:eastAsia="Arial" w:hAnsi="Arial"/>
          <w:color w:val="666666"/>
          <w:sz w:val="21"/>
          <w:szCs w:val="21"/>
        </w:rPr>
        <w:t xml:space="preserve">Source: Proud Tek RFID RFP guide (proudtek.com/blog/rfid-rfp-template-questions-suppliers/), which covers Incoterms, HS/tariff classification and evaluation methodology in full detail.</w:t>
      </w:r>
    </w:p>
    <w:p>
      <w:pPr>
        <w:spacing w:before="400"/>
      </w:pPr>
      <w:r>
        <w:rPr>
          <w:rFonts w:ascii="Arial" w:cs="Arial" w:eastAsia="Arial" w:hAnsi="Arial"/>
          <w:color w:val="666666"/>
          <w:sz w:val="17"/>
          <w:szCs w:val="17"/>
        </w:rPr>
        <w:t xml:space="preserve">This template is provided for general procurement planning purposes and does not constitute legal or trade-compliance advice. Confirm Incoterms, tariff classification and contract clauses with your own legal / customs counsel before finalizing a purchase order.</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66666"/>
        <w:sz w:val="16"/>
        <w:szCs w:val="16"/>
      </w:rPr>
      <w:t xml:space="preserve">Page </w:t>
    </w:r>
    <w:r>
      <w:rPr>
        <w:rFonts w:ascii="Arial" w:cs="Arial" w:eastAsia="Arial" w:hAnsi="Arial"/>
        <w:color w:val="666666"/>
        <w:sz w:val="16"/>
        <w:szCs w:val="16"/>
      </w:rPr>
      <w:fldChar w:fldCharType="begin"/>
      <w:instrText xml:space="preserve">PAGE</w:instrText>
      <w:fldChar w:fldCharType="separate"/>
      <w:fldChar w:fldCharType="end"/>
    </w:r>
    <w:r>
      <w:rPr>
        <w:rFonts w:ascii="Arial" w:cs="Arial" w:eastAsia="Arial" w:hAnsi="Arial"/>
        <w:color w:val="666666"/>
        <w:sz w:val="16"/>
        <w:szCs w:val="16"/>
      </w:rPr>
      <w:t xml:space="preserve"> of </w:t>
    </w:r>
    <w:r>
      <w:rPr>
        <w:rFonts w:ascii="Arial" w:cs="Arial" w:eastAsia="Arial" w:hAnsi="Arial"/>
        <w:color w:val="666666"/>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pPr>
    <w:r>
      <w:rPr>
        <w:rFonts w:ascii="Arial" w:cs="Arial" w:eastAsia="Arial" w:hAnsi="Arial"/>
        <w:color w:val="666666"/>
        <w:sz w:val="16"/>
        <w:szCs w:val="16"/>
      </w:rPr>
      <w:t xml:space="preserve">RFID / NFC Procurement RFP Template</w:t>
    </w:r>
    <w:r>
      <w:rPr>
        <w:rFonts w:ascii="Arial" w:cs="Arial" w:eastAsia="Arial" w:hAnsi="Arial"/>
        <w:color w:val="666666"/>
        <w:sz w:val="16"/>
        <w:szCs w:val="16"/>
      </w:rPr>
      <w:t xml:space="preserve">	proudtek.com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1F4E79" w:sz="6" w:space="4"/>
      </w:pBdr>
      <w:spacing w:after="160" w:before="320"/>
      <w:outlineLvl w:val="0"/>
    </w:pPr>
    <w:rPr>
      <w:rFonts w:ascii="Arial" w:cs="Arial" w:eastAsia="Arial" w:hAnsi="Arial"/>
      <w:b/>
      <w:bCs/>
      <w:color w:val="1F4E79"/>
      <w:sz w:val="30"/>
      <w:szCs w:val="30"/>
    </w:rPr>
  </w:style>
  <w:style w:type="paragraph" w:styleId="Heading2">
    <w:name w:val="Heading 2"/>
    <w:basedOn w:val="Normal"/>
    <w:next w:val="Normal"/>
    <w:qFormat/>
    <w:pPr>
      <w:spacing w:after="120" w:before="240"/>
      <w:outlineLvl w:val="1"/>
    </w:pPr>
    <w:rPr>
      <w:rFonts w:ascii="Arial" w:cs="Arial" w:eastAsia="Arial" w:hAnsi="Arial"/>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2026-07-01T09:06:39.597Z</dcterms:created>
  <dcterms:modified xsi:type="dcterms:W3CDTF">2026-07-01T09:06:39.597Z</dcterms:modified>
</cp:coreProperties>
</file>

<file path=docProps/custom.xml><?xml version="1.0" encoding="utf-8"?>
<Properties xmlns="http://schemas.openxmlformats.org/officeDocument/2006/custom-properties" xmlns:vt="http://schemas.openxmlformats.org/officeDocument/2006/docPropsVTypes"/>
</file>